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5E9C" w:rsidRDefault="00655E9C" w:rsidP="00655E9C">
      <w:pPr>
        <w:pStyle w:val="Heading1"/>
        <w:spacing w:before="64"/>
        <w:ind w:left="4036" w:right="4034"/>
        <w:jc w:val="center"/>
      </w:pPr>
      <w:r>
        <w:t>ATTACHMENT B COST SHARING</w:t>
      </w:r>
    </w:p>
    <w:p w:rsidR="00655E9C" w:rsidRDefault="00655E9C" w:rsidP="00655E9C">
      <w:pPr>
        <w:spacing w:before="149"/>
        <w:ind w:left="119"/>
        <w:rPr>
          <w:b/>
          <w:sz w:val="24"/>
        </w:rPr>
      </w:pPr>
      <w:r>
        <w:rPr>
          <w:b/>
          <w:sz w:val="24"/>
        </w:rPr>
        <w:t>Cost-sharing currently in effect unless changed by a state plan amendment.</w:t>
      </w:r>
    </w:p>
    <w:p w:rsidR="00655E9C" w:rsidRDefault="00655E9C" w:rsidP="00655E9C">
      <w:pPr>
        <w:pStyle w:val="BodyText"/>
        <w:spacing w:before="163"/>
        <w:ind w:left="119" w:right="388"/>
      </w:pPr>
      <w:r>
        <w:t>Cost-sharing imposed upon individuals enrolled in the demonstration may vary across delivery systems, coverage types and by FPL. However, no co-payments are charged for any benefits rendered to individuals under age 21, pregnant women, individuals living in an institution or receiving hospice, and American Indian/Alaska Natives who receive services through an IHS, tribal 638 or the IHS/tribal Purchased and Referred Care program. Additionally, no premiums are charged to any individual enrolled in the demonstration whose gross income is less than 150 percent of the FPL, or to any American Indian/Alaska Natives who receive services through an IHS, tribal 638 or the IHS/tribal Purchased and Referred Care program. In the event a family group contains at least two members who are eligible for different coverage types and who would otherwise be assessed two different premiums, the family shall be assessed only the highest applicable premium. Family group will be determined using MassHealth rules for the purposes of assessing premiums as described in STC</w:t>
      </w:r>
      <w:r>
        <w:rPr>
          <w:spacing w:val="-23"/>
        </w:rPr>
        <w:t xml:space="preserve"> </w:t>
      </w:r>
      <w:r>
        <w:t>20.</w:t>
      </w:r>
    </w:p>
    <w:p w:rsidR="00655E9C" w:rsidRDefault="00655E9C" w:rsidP="00655E9C">
      <w:pPr>
        <w:pStyle w:val="BodyText"/>
        <w:spacing w:before="3"/>
        <w:rPr>
          <w:sz w:val="25"/>
        </w:rPr>
      </w:pPr>
    </w:p>
    <w:tbl>
      <w:tblPr>
        <w:tblW w:w="0" w:type="auto"/>
        <w:tblInd w:w="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16"/>
        <w:gridCol w:w="2743"/>
        <w:gridCol w:w="4517"/>
      </w:tblGrid>
      <w:tr w:rsidR="00655E9C" w:rsidTr="003E2CED">
        <w:trPr>
          <w:trHeight w:hRule="exact" w:val="1114"/>
        </w:trPr>
        <w:tc>
          <w:tcPr>
            <w:tcW w:w="2316" w:type="dxa"/>
            <w:shd w:val="clear" w:color="auto" w:fill="DBDBDB"/>
          </w:tcPr>
          <w:p w:rsidR="00655E9C" w:rsidRDefault="00655E9C" w:rsidP="003E2CED">
            <w:pPr>
              <w:pStyle w:val="TableParagraph"/>
              <w:ind w:left="693" w:hanging="310"/>
              <w:rPr>
                <w:b/>
                <w:sz w:val="24"/>
              </w:rPr>
            </w:pPr>
            <w:r>
              <w:rPr>
                <w:b/>
                <w:sz w:val="24"/>
              </w:rPr>
              <w:t>Demonstration Program</w:t>
            </w:r>
          </w:p>
        </w:tc>
        <w:tc>
          <w:tcPr>
            <w:tcW w:w="2743" w:type="dxa"/>
            <w:shd w:val="clear" w:color="auto" w:fill="DBDBDB"/>
          </w:tcPr>
          <w:p w:rsidR="00655E9C" w:rsidRDefault="00655E9C" w:rsidP="003E2CED">
            <w:pPr>
              <w:pStyle w:val="TableParagraph"/>
              <w:spacing w:line="270" w:lineRule="exact"/>
              <w:ind w:left="126" w:right="134"/>
              <w:jc w:val="center"/>
              <w:rPr>
                <w:b/>
                <w:sz w:val="24"/>
              </w:rPr>
            </w:pPr>
            <w:r>
              <w:rPr>
                <w:b/>
                <w:sz w:val="24"/>
              </w:rPr>
              <w:t>Premiums</w:t>
            </w:r>
          </w:p>
          <w:p w:rsidR="00655E9C" w:rsidRDefault="00655E9C" w:rsidP="003E2CED">
            <w:pPr>
              <w:pStyle w:val="TableParagraph"/>
              <w:ind w:left="153" w:right="160" w:firstLine="3"/>
              <w:jc w:val="center"/>
              <w:rPr>
                <w:b/>
                <w:sz w:val="24"/>
              </w:rPr>
            </w:pPr>
            <w:r>
              <w:rPr>
                <w:b/>
                <w:sz w:val="24"/>
              </w:rPr>
              <w:t>(only for persons with family income above 150 percent of the</w:t>
            </w:r>
            <w:r>
              <w:rPr>
                <w:b/>
                <w:spacing w:val="-15"/>
                <w:sz w:val="24"/>
              </w:rPr>
              <w:t xml:space="preserve"> </w:t>
            </w:r>
            <w:r>
              <w:rPr>
                <w:b/>
                <w:sz w:val="24"/>
              </w:rPr>
              <w:t>FPL)</w:t>
            </w:r>
          </w:p>
        </w:tc>
        <w:tc>
          <w:tcPr>
            <w:tcW w:w="4517" w:type="dxa"/>
            <w:shd w:val="clear" w:color="auto" w:fill="DBDBDB"/>
          </w:tcPr>
          <w:p w:rsidR="00655E9C" w:rsidRDefault="00655E9C" w:rsidP="003E2CED">
            <w:pPr>
              <w:pStyle w:val="TableParagraph"/>
              <w:spacing w:line="270" w:lineRule="exact"/>
              <w:ind w:left="1552" w:right="1555"/>
              <w:jc w:val="center"/>
              <w:rPr>
                <w:b/>
                <w:sz w:val="24"/>
              </w:rPr>
            </w:pPr>
            <w:r>
              <w:rPr>
                <w:b/>
                <w:sz w:val="24"/>
              </w:rPr>
              <w:t>Co-payments</w:t>
            </w:r>
          </w:p>
        </w:tc>
      </w:tr>
      <w:tr w:rsidR="00655E9C" w:rsidTr="003E2CED">
        <w:trPr>
          <w:trHeight w:hRule="exact" w:val="1392"/>
        </w:trPr>
        <w:tc>
          <w:tcPr>
            <w:tcW w:w="2316" w:type="dxa"/>
          </w:tcPr>
          <w:p w:rsidR="00655E9C" w:rsidRDefault="00655E9C" w:rsidP="003E2CED">
            <w:pPr>
              <w:pStyle w:val="TableParagraph"/>
              <w:spacing w:before="8"/>
              <w:rPr>
                <w:sz w:val="23"/>
              </w:rPr>
            </w:pPr>
          </w:p>
          <w:p w:rsidR="00655E9C" w:rsidRDefault="00655E9C" w:rsidP="003E2CED">
            <w:pPr>
              <w:pStyle w:val="TableParagraph"/>
              <w:ind w:left="103"/>
              <w:rPr>
                <w:sz w:val="24"/>
              </w:rPr>
            </w:pPr>
            <w:r>
              <w:rPr>
                <w:sz w:val="24"/>
              </w:rPr>
              <w:t>MassHealth Standard/Standard ABP</w:t>
            </w:r>
          </w:p>
        </w:tc>
        <w:tc>
          <w:tcPr>
            <w:tcW w:w="2743" w:type="dxa"/>
          </w:tcPr>
          <w:p w:rsidR="00655E9C" w:rsidRDefault="00655E9C" w:rsidP="003E2CED">
            <w:pPr>
              <w:pStyle w:val="TableParagraph"/>
              <w:rPr>
                <w:sz w:val="26"/>
              </w:rPr>
            </w:pPr>
          </w:p>
          <w:p w:rsidR="00655E9C" w:rsidRDefault="00655E9C" w:rsidP="003E2CED">
            <w:pPr>
              <w:pStyle w:val="TableParagraph"/>
              <w:rPr>
                <w:sz w:val="26"/>
              </w:rPr>
            </w:pPr>
          </w:p>
          <w:p w:rsidR="00655E9C" w:rsidRDefault="00655E9C" w:rsidP="003E2CED">
            <w:pPr>
              <w:pStyle w:val="TableParagraph"/>
              <w:spacing w:before="226"/>
              <w:ind w:left="1245"/>
              <w:rPr>
                <w:sz w:val="24"/>
              </w:rPr>
            </w:pPr>
            <w:r>
              <w:rPr>
                <w:sz w:val="24"/>
              </w:rPr>
              <w:t>$0</w:t>
            </w:r>
          </w:p>
        </w:tc>
        <w:tc>
          <w:tcPr>
            <w:tcW w:w="4517" w:type="dxa"/>
          </w:tcPr>
          <w:p w:rsidR="00655E9C" w:rsidRDefault="00655E9C" w:rsidP="003E2CED">
            <w:pPr>
              <w:pStyle w:val="TableParagraph"/>
              <w:spacing w:before="10"/>
              <w:rPr>
                <w:sz w:val="23"/>
              </w:rPr>
            </w:pPr>
          </w:p>
          <w:p w:rsidR="00655E9C" w:rsidRDefault="00655E9C" w:rsidP="003E2CED">
            <w:pPr>
              <w:pStyle w:val="TableParagraph"/>
              <w:ind w:left="100" w:right="355"/>
              <w:rPr>
                <w:sz w:val="24"/>
              </w:rPr>
            </w:pPr>
            <w:r>
              <w:rPr>
                <w:sz w:val="24"/>
              </w:rPr>
              <w:t>All co-payments and co-payment caps are specified in the Medicaid state plan.</w:t>
            </w:r>
          </w:p>
        </w:tc>
      </w:tr>
      <w:tr w:rsidR="00655E9C" w:rsidTr="003E2CED">
        <w:trPr>
          <w:trHeight w:hRule="exact" w:val="1368"/>
        </w:trPr>
        <w:tc>
          <w:tcPr>
            <w:tcW w:w="2316" w:type="dxa"/>
          </w:tcPr>
          <w:p w:rsidR="00655E9C" w:rsidRDefault="00655E9C" w:rsidP="003E2CED">
            <w:pPr>
              <w:pStyle w:val="TableParagraph"/>
              <w:rPr>
                <w:sz w:val="26"/>
              </w:rPr>
            </w:pPr>
          </w:p>
          <w:p w:rsidR="00655E9C" w:rsidRDefault="00655E9C" w:rsidP="003E2CED">
            <w:pPr>
              <w:pStyle w:val="TableParagraph"/>
              <w:spacing w:before="8"/>
              <w:rPr>
                <w:sz w:val="21"/>
              </w:rPr>
            </w:pPr>
          </w:p>
          <w:p w:rsidR="00655E9C" w:rsidRDefault="00655E9C" w:rsidP="003E2CED">
            <w:pPr>
              <w:pStyle w:val="TableParagraph"/>
              <w:ind w:left="103"/>
              <w:rPr>
                <w:sz w:val="24"/>
              </w:rPr>
            </w:pPr>
            <w:r>
              <w:rPr>
                <w:sz w:val="24"/>
              </w:rPr>
              <w:t>MassHealth CarePlus</w:t>
            </w:r>
          </w:p>
        </w:tc>
        <w:tc>
          <w:tcPr>
            <w:tcW w:w="2743" w:type="dxa"/>
          </w:tcPr>
          <w:p w:rsidR="00655E9C" w:rsidRDefault="00655E9C" w:rsidP="003E2CED">
            <w:pPr>
              <w:pStyle w:val="TableParagraph"/>
              <w:rPr>
                <w:sz w:val="26"/>
              </w:rPr>
            </w:pPr>
          </w:p>
          <w:p w:rsidR="00655E9C" w:rsidRDefault="00655E9C" w:rsidP="003E2CED">
            <w:pPr>
              <w:pStyle w:val="TableParagraph"/>
              <w:spacing w:before="8"/>
              <w:rPr>
                <w:sz w:val="21"/>
              </w:rPr>
            </w:pPr>
          </w:p>
          <w:p w:rsidR="00655E9C" w:rsidRDefault="00655E9C" w:rsidP="003E2CED">
            <w:pPr>
              <w:pStyle w:val="TableParagraph"/>
              <w:ind w:left="1245"/>
              <w:rPr>
                <w:sz w:val="24"/>
              </w:rPr>
            </w:pPr>
            <w:r>
              <w:rPr>
                <w:sz w:val="24"/>
              </w:rPr>
              <w:t>$0</w:t>
            </w:r>
          </w:p>
        </w:tc>
        <w:tc>
          <w:tcPr>
            <w:tcW w:w="4517" w:type="dxa"/>
          </w:tcPr>
          <w:p w:rsidR="00655E9C" w:rsidRDefault="00655E9C" w:rsidP="003E2CED">
            <w:pPr>
              <w:pStyle w:val="TableParagraph"/>
              <w:rPr>
                <w:sz w:val="26"/>
              </w:rPr>
            </w:pPr>
          </w:p>
          <w:p w:rsidR="00655E9C" w:rsidRDefault="00655E9C" w:rsidP="003E2CED">
            <w:pPr>
              <w:pStyle w:val="TableParagraph"/>
              <w:spacing w:before="8"/>
              <w:rPr>
                <w:sz w:val="21"/>
              </w:rPr>
            </w:pPr>
          </w:p>
          <w:p w:rsidR="00655E9C" w:rsidRDefault="00655E9C" w:rsidP="003E2CED">
            <w:pPr>
              <w:pStyle w:val="TableParagraph"/>
              <w:ind w:left="100"/>
              <w:rPr>
                <w:sz w:val="24"/>
              </w:rPr>
            </w:pPr>
            <w:r>
              <w:rPr>
                <w:sz w:val="24"/>
              </w:rPr>
              <w:t>MassHealth Standard co-payments apply.</w:t>
            </w:r>
          </w:p>
        </w:tc>
      </w:tr>
      <w:tr w:rsidR="00655E9C" w:rsidTr="003E2CED">
        <w:trPr>
          <w:trHeight w:hRule="exact" w:val="838"/>
        </w:trPr>
        <w:tc>
          <w:tcPr>
            <w:tcW w:w="2316" w:type="dxa"/>
          </w:tcPr>
          <w:p w:rsidR="00655E9C" w:rsidRDefault="00655E9C" w:rsidP="003E2CED">
            <w:pPr>
              <w:pStyle w:val="TableParagraph"/>
              <w:ind w:left="103" w:right="90"/>
              <w:rPr>
                <w:sz w:val="24"/>
              </w:rPr>
            </w:pPr>
            <w:r>
              <w:rPr>
                <w:sz w:val="24"/>
              </w:rPr>
              <w:t>MassHealth Breast and Cervical Cancer Treatment Program</w:t>
            </w:r>
          </w:p>
        </w:tc>
        <w:tc>
          <w:tcPr>
            <w:tcW w:w="2743" w:type="dxa"/>
          </w:tcPr>
          <w:p w:rsidR="00655E9C" w:rsidRDefault="00655E9C" w:rsidP="003E2CED">
            <w:pPr>
              <w:pStyle w:val="TableParagraph"/>
              <w:spacing w:before="129" w:line="274" w:lineRule="exact"/>
              <w:ind w:left="1012" w:hanging="730"/>
              <w:rPr>
                <w:sz w:val="24"/>
              </w:rPr>
            </w:pPr>
            <w:r>
              <w:rPr>
                <w:sz w:val="24"/>
              </w:rPr>
              <w:t>$15-$72 depending on income</w:t>
            </w:r>
          </w:p>
        </w:tc>
        <w:tc>
          <w:tcPr>
            <w:tcW w:w="4517" w:type="dxa"/>
          </w:tcPr>
          <w:p w:rsidR="00655E9C" w:rsidRDefault="00655E9C" w:rsidP="003E2CED">
            <w:pPr>
              <w:pStyle w:val="TableParagraph"/>
              <w:spacing w:line="266" w:lineRule="exact"/>
              <w:ind w:left="100"/>
              <w:rPr>
                <w:sz w:val="24"/>
              </w:rPr>
            </w:pPr>
            <w:r>
              <w:rPr>
                <w:sz w:val="24"/>
              </w:rPr>
              <w:t>MassHealth Standard co-payments apply.</w:t>
            </w:r>
          </w:p>
        </w:tc>
      </w:tr>
      <w:tr w:rsidR="00655E9C" w:rsidTr="003E2CED">
        <w:trPr>
          <w:trHeight w:hRule="exact" w:val="838"/>
        </w:trPr>
        <w:tc>
          <w:tcPr>
            <w:tcW w:w="2316" w:type="dxa"/>
          </w:tcPr>
          <w:p w:rsidR="00655E9C" w:rsidRDefault="00655E9C" w:rsidP="003E2CED">
            <w:pPr>
              <w:pStyle w:val="TableParagraph"/>
              <w:spacing w:before="128" w:line="274" w:lineRule="exact"/>
              <w:ind w:left="103" w:right="650"/>
              <w:rPr>
                <w:sz w:val="24"/>
              </w:rPr>
            </w:pPr>
            <w:r>
              <w:rPr>
                <w:sz w:val="24"/>
              </w:rPr>
              <w:t>MassHealth CommonHealth</w:t>
            </w:r>
          </w:p>
        </w:tc>
        <w:tc>
          <w:tcPr>
            <w:tcW w:w="2743" w:type="dxa"/>
          </w:tcPr>
          <w:p w:rsidR="00655E9C" w:rsidRDefault="00655E9C" w:rsidP="003E2CED">
            <w:pPr>
              <w:pStyle w:val="TableParagraph"/>
              <w:ind w:left="139" w:right="134"/>
              <w:jc w:val="center"/>
              <w:rPr>
                <w:sz w:val="24"/>
              </w:rPr>
            </w:pPr>
            <w:r>
              <w:rPr>
                <w:sz w:val="24"/>
              </w:rPr>
              <w:t>$15 and above depending on income and family group size</w:t>
            </w:r>
          </w:p>
        </w:tc>
        <w:tc>
          <w:tcPr>
            <w:tcW w:w="4517" w:type="dxa"/>
          </w:tcPr>
          <w:p w:rsidR="00655E9C" w:rsidRDefault="00655E9C" w:rsidP="003E2CED">
            <w:pPr>
              <w:pStyle w:val="TableParagraph"/>
              <w:spacing w:before="5"/>
              <w:rPr>
                <w:sz w:val="23"/>
              </w:rPr>
            </w:pPr>
          </w:p>
          <w:p w:rsidR="00655E9C" w:rsidRDefault="00655E9C" w:rsidP="003E2CED">
            <w:pPr>
              <w:pStyle w:val="TableParagraph"/>
              <w:spacing w:before="1"/>
              <w:ind w:left="100"/>
              <w:rPr>
                <w:sz w:val="24"/>
              </w:rPr>
            </w:pPr>
            <w:r>
              <w:rPr>
                <w:sz w:val="24"/>
              </w:rPr>
              <w:t>MassHealth Standard co-payments apply.</w:t>
            </w:r>
          </w:p>
        </w:tc>
      </w:tr>
      <w:tr w:rsidR="00655E9C" w:rsidTr="003E2CED">
        <w:trPr>
          <w:trHeight w:hRule="exact" w:val="2496"/>
        </w:trPr>
        <w:tc>
          <w:tcPr>
            <w:tcW w:w="2316" w:type="dxa"/>
          </w:tcPr>
          <w:p w:rsidR="00655E9C" w:rsidRDefault="00655E9C" w:rsidP="003E2CED">
            <w:pPr>
              <w:pStyle w:val="TableParagraph"/>
              <w:ind w:left="103" w:right="90"/>
              <w:rPr>
                <w:sz w:val="24"/>
              </w:rPr>
            </w:pPr>
            <w:r>
              <w:rPr>
                <w:sz w:val="24"/>
              </w:rPr>
              <w:t>CommonHealth Children through 300% FPL</w:t>
            </w:r>
          </w:p>
          <w:p w:rsidR="00655E9C" w:rsidRDefault="00655E9C" w:rsidP="003E2CED">
            <w:pPr>
              <w:pStyle w:val="TableParagraph"/>
              <w:spacing w:before="8"/>
              <w:rPr>
                <w:sz w:val="24"/>
              </w:rPr>
            </w:pPr>
          </w:p>
          <w:p w:rsidR="00655E9C" w:rsidRDefault="00655E9C" w:rsidP="003E2CED">
            <w:pPr>
              <w:pStyle w:val="TableParagraph"/>
              <w:ind w:left="103" w:right="90"/>
              <w:rPr>
                <w:sz w:val="24"/>
              </w:rPr>
            </w:pPr>
            <w:r>
              <w:rPr>
                <w:sz w:val="24"/>
              </w:rPr>
              <w:t>Children with income above 300% FPL adhere to the regular CommonHealth schedule</w:t>
            </w:r>
          </w:p>
        </w:tc>
        <w:tc>
          <w:tcPr>
            <w:tcW w:w="2743" w:type="dxa"/>
          </w:tcPr>
          <w:p w:rsidR="00655E9C" w:rsidRDefault="00655E9C" w:rsidP="003E2CED">
            <w:pPr>
              <w:pStyle w:val="TableParagraph"/>
              <w:rPr>
                <w:sz w:val="26"/>
              </w:rPr>
            </w:pPr>
          </w:p>
          <w:p w:rsidR="00655E9C" w:rsidRDefault="00655E9C" w:rsidP="003E2CED">
            <w:pPr>
              <w:pStyle w:val="TableParagraph"/>
              <w:rPr>
                <w:sz w:val="26"/>
              </w:rPr>
            </w:pPr>
          </w:p>
          <w:p w:rsidR="00655E9C" w:rsidRDefault="00655E9C" w:rsidP="003E2CED">
            <w:pPr>
              <w:pStyle w:val="TableParagraph"/>
              <w:spacing w:before="226"/>
              <w:ind w:left="158" w:right="163" w:firstLine="2"/>
              <w:jc w:val="center"/>
              <w:rPr>
                <w:sz w:val="24"/>
              </w:rPr>
            </w:pPr>
            <w:r>
              <w:rPr>
                <w:sz w:val="24"/>
              </w:rPr>
              <w:t>$12-$84 depending on income and family</w:t>
            </w:r>
            <w:r>
              <w:rPr>
                <w:spacing w:val="-14"/>
                <w:sz w:val="24"/>
              </w:rPr>
              <w:t xml:space="preserve"> </w:t>
            </w:r>
            <w:r>
              <w:rPr>
                <w:sz w:val="24"/>
              </w:rPr>
              <w:t>group size</w:t>
            </w:r>
          </w:p>
        </w:tc>
        <w:tc>
          <w:tcPr>
            <w:tcW w:w="4517" w:type="dxa"/>
          </w:tcPr>
          <w:p w:rsidR="00655E9C" w:rsidRDefault="00655E9C" w:rsidP="003E2CED">
            <w:pPr>
              <w:pStyle w:val="TableParagraph"/>
              <w:rPr>
                <w:sz w:val="26"/>
              </w:rPr>
            </w:pPr>
          </w:p>
          <w:p w:rsidR="00655E9C" w:rsidRDefault="00655E9C" w:rsidP="003E2CED">
            <w:pPr>
              <w:pStyle w:val="TableParagraph"/>
              <w:rPr>
                <w:sz w:val="26"/>
              </w:rPr>
            </w:pPr>
          </w:p>
          <w:p w:rsidR="00655E9C" w:rsidRDefault="00655E9C" w:rsidP="003E2CED">
            <w:pPr>
              <w:pStyle w:val="TableParagraph"/>
              <w:spacing w:before="226"/>
              <w:ind w:left="100"/>
              <w:rPr>
                <w:sz w:val="24"/>
              </w:rPr>
            </w:pPr>
            <w:r>
              <w:rPr>
                <w:sz w:val="24"/>
              </w:rPr>
              <w:t>MassHealth Standard co-payments apply.</w:t>
            </w:r>
          </w:p>
        </w:tc>
      </w:tr>
    </w:tbl>
    <w:p w:rsidR="00655E9C" w:rsidRDefault="00655E9C" w:rsidP="00655E9C">
      <w:pPr>
        <w:rPr>
          <w:sz w:val="24"/>
        </w:rPr>
        <w:sectPr w:rsidR="00655E9C">
          <w:footerReference w:type="default" r:id="rId7"/>
          <w:pgSz w:w="12240" w:h="15840"/>
          <w:pgMar w:top="660" w:right="1100" w:bottom="1780" w:left="1100" w:header="0" w:footer="1586" w:gutter="0"/>
          <w:pgNumType w:start="117"/>
          <w:cols w:space="720"/>
        </w:sectPr>
      </w:pPr>
    </w:p>
    <w:p w:rsidR="00655E9C" w:rsidRDefault="00655E9C" w:rsidP="00655E9C">
      <w:pPr>
        <w:pStyle w:val="NoSpacing"/>
        <w:jc w:val="center"/>
        <w:rPr>
          <w:b/>
          <w:sz w:val="24"/>
        </w:rPr>
      </w:pPr>
      <w:r w:rsidRPr="00655E9C">
        <w:rPr>
          <w:b/>
          <w:sz w:val="24"/>
        </w:rPr>
        <w:lastRenderedPageBreak/>
        <w:t>ATTACHME</w:t>
      </w:r>
      <w:bookmarkStart w:id="0" w:name="_GoBack"/>
      <w:bookmarkEnd w:id="0"/>
      <w:r w:rsidRPr="00655E9C">
        <w:rPr>
          <w:b/>
          <w:sz w:val="24"/>
        </w:rPr>
        <w:t xml:space="preserve">NT B </w:t>
      </w:r>
    </w:p>
    <w:p w:rsidR="00655E9C" w:rsidRPr="00655E9C" w:rsidRDefault="00655E9C" w:rsidP="00655E9C">
      <w:pPr>
        <w:pStyle w:val="NoSpacing"/>
        <w:jc w:val="center"/>
        <w:rPr>
          <w:b/>
          <w:sz w:val="24"/>
        </w:rPr>
      </w:pPr>
      <w:r w:rsidRPr="00655E9C">
        <w:rPr>
          <w:b/>
          <w:sz w:val="24"/>
        </w:rPr>
        <w:t>COST SHARING</w:t>
      </w:r>
    </w:p>
    <w:tbl>
      <w:tblPr>
        <w:tblW w:w="0" w:type="auto"/>
        <w:tblInd w:w="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16"/>
        <w:gridCol w:w="2743"/>
        <w:gridCol w:w="4517"/>
      </w:tblGrid>
      <w:tr w:rsidR="00655E9C" w:rsidTr="003E2CED">
        <w:trPr>
          <w:trHeight w:hRule="exact" w:val="838"/>
        </w:trPr>
        <w:tc>
          <w:tcPr>
            <w:tcW w:w="2316" w:type="dxa"/>
          </w:tcPr>
          <w:p w:rsidR="00655E9C" w:rsidRDefault="00655E9C" w:rsidP="003E2CED">
            <w:pPr>
              <w:pStyle w:val="TableParagraph"/>
              <w:spacing w:line="252" w:lineRule="exact"/>
              <w:ind w:left="103"/>
              <w:rPr>
                <w:sz w:val="24"/>
              </w:rPr>
            </w:pPr>
            <w:r>
              <w:rPr>
                <w:sz w:val="24"/>
              </w:rPr>
              <w:t>MassHealth Family</w:t>
            </w:r>
          </w:p>
          <w:p w:rsidR="00655E9C" w:rsidRDefault="00655E9C" w:rsidP="003E2CED">
            <w:pPr>
              <w:pStyle w:val="TableParagraph"/>
              <w:ind w:left="103" w:right="1090"/>
              <w:rPr>
                <w:sz w:val="24"/>
              </w:rPr>
            </w:pPr>
            <w:r>
              <w:rPr>
                <w:sz w:val="24"/>
              </w:rPr>
              <w:t>Assistance: HIV/AIDS</w:t>
            </w:r>
          </w:p>
        </w:tc>
        <w:tc>
          <w:tcPr>
            <w:tcW w:w="2743" w:type="dxa"/>
          </w:tcPr>
          <w:p w:rsidR="00655E9C" w:rsidRDefault="00655E9C" w:rsidP="003E2CED">
            <w:pPr>
              <w:pStyle w:val="TableParagraph"/>
              <w:spacing w:before="110" w:line="274" w:lineRule="exact"/>
              <w:ind w:left="1012" w:hanging="730"/>
              <w:rPr>
                <w:sz w:val="24"/>
              </w:rPr>
            </w:pPr>
            <w:r>
              <w:rPr>
                <w:sz w:val="24"/>
              </w:rPr>
              <w:t>$15-$35 depending on income</w:t>
            </w:r>
          </w:p>
        </w:tc>
        <w:tc>
          <w:tcPr>
            <w:tcW w:w="4517" w:type="dxa"/>
          </w:tcPr>
          <w:p w:rsidR="00655E9C" w:rsidRDefault="00655E9C" w:rsidP="003E2CED">
            <w:pPr>
              <w:pStyle w:val="TableParagraph"/>
              <w:spacing w:before="105"/>
              <w:ind w:left="100"/>
              <w:rPr>
                <w:sz w:val="24"/>
              </w:rPr>
            </w:pPr>
            <w:r>
              <w:rPr>
                <w:sz w:val="24"/>
              </w:rPr>
              <w:t>MassHealth Standard co-payments apply.</w:t>
            </w:r>
          </w:p>
        </w:tc>
      </w:tr>
      <w:tr w:rsidR="00655E9C" w:rsidTr="003E2CED">
        <w:trPr>
          <w:trHeight w:hRule="exact" w:val="838"/>
        </w:trPr>
        <w:tc>
          <w:tcPr>
            <w:tcW w:w="2316" w:type="dxa"/>
          </w:tcPr>
          <w:p w:rsidR="00655E9C" w:rsidRDefault="00655E9C" w:rsidP="003E2CED">
            <w:pPr>
              <w:pStyle w:val="TableParagraph"/>
              <w:spacing w:line="252" w:lineRule="exact"/>
              <w:ind w:left="103"/>
              <w:rPr>
                <w:sz w:val="24"/>
              </w:rPr>
            </w:pPr>
            <w:r>
              <w:rPr>
                <w:sz w:val="24"/>
              </w:rPr>
              <w:t>MassHealth Family</w:t>
            </w:r>
          </w:p>
          <w:p w:rsidR="00655E9C" w:rsidRDefault="00655E9C" w:rsidP="003E2CED">
            <w:pPr>
              <w:pStyle w:val="TableParagraph"/>
              <w:ind w:left="103" w:right="150"/>
              <w:rPr>
                <w:sz w:val="24"/>
              </w:rPr>
            </w:pPr>
            <w:r>
              <w:rPr>
                <w:sz w:val="24"/>
              </w:rPr>
              <w:t>Assistance: Premium Assistance</w:t>
            </w:r>
          </w:p>
        </w:tc>
        <w:tc>
          <w:tcPr>
            <w:tcW w:w="2743" w:type="dxa"/>
          </w:tcPr>
          <w:p w:rsidR="00655E9C" w:rsidRDefault="00655E9C" w:rsidP="003E2CED">
            <w:pPr>
              <w:pStyle w:val="TableParagraph"/>
              <w:spacing w:before="105"/>
              <w:ind w:left="559" w:hanging="305"/>
              <w:rPr>
                <w:sz w:val="24"/>
              </w:rPr>
            </w:pPr>
            <w:r>
              <w:rPr>
                <w:sz w:val="24"/>
              </w:rPr>
              <w:t>$12 per child, $36 max per family group</w:t>
            </w:r>
          </w:p>
        </w:tc>
        <w:tc>
          <w:tcPr>
            <w:tcW w:w="4517" w:type="dxa"/>
          </w:tcPr>
          <w:p w:rsidR="00655E9C" w:rsidRDefault="00655E9C" w:rsidP="003E2CED">
            <w:pPr>
              <w:pStyle w:val="TableParagraph"/>
              <w:spacing w:line="252" w:lineRule="exact"/>
              <w:ind w:left="100"/>
              <w:rPr>
                <w:sz w:val="24"/>
              </w:rPr>
            </w:pPr>
            <w:r>
              <w:rPr>
                <w:sz w:val="24"/>
              </w:rPr>
              <w:t>Member is responsible for all co-payments</w:t>
            </w:r>
          </w:p>
          <w:p w:rsidR="00655E9C" w:rsidRDefault="00655E9C" w:rsidP="003E2CED">
            <w:pPr>
              <w:pStyle w:val="TableParagraph"/>
              <w:ind w:left="100"/>
              <w:rPr>
                <w:sz w:val="24"/>
              </w:rPr>
            </w:pPr>
            <w:r>
              <w:rPr>
                <w:sz w:val="24"/>
              </w:rPr>
              <w:t>required under private insurance with a cost sharing limit of 5 percent of family income</w:t>
            </w:r>
          </w:p>
        </w:tc>
      </w:tr>
    </w:tbl>
    <w:p w:rsidR="00655E9C" w:rsidRDefault="00655E9C" w:rsidP="00655E9C">
      <w:pPr>
        <w:pStyle w:val="BodyText"/>
        <w:spacing w:before="2"/>
        <w:rPr>
          <w:b/>
          <w:sz w:val="10"/>
        </w:rPr>
      </w:pPr>
    </w:p>
    <w:tbl>
      <w:tblPr>
        <w:tblW w:w="0" w:type="auto"/>
        <w:tblInd w:w="2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16"/>
        <w:gridCol w:w="2743"/>
        <w:gridCol w:w="4517"/>
      </w:tblGrid>
      <w:tr w:rsidR="00655E9C" w:rsidTr="003E2CED">
        <w:trPr>
          <w:trHeight w:hRule="exact" w:val="838"/>
        </w:trPr>
        <w:tc>
          <w:tcPr>
            <w:tcW w:w="2316" w:type="dxa"/>
          </w:tcPr>
          <w:p w:rsidR="00655E9C" w:rsidRDefault="00655E9C" w:rsidP="003E2CED">
            <w:pPr>
              <w:pStyle w:val="TableParagraph"/>
              <w:ind w:left="103" w:right="296"/>
              <w:rPr>
                <w:sz w:val="24"/>
              </w:rPr>
            </w:pPr>
            <w:r>
              <w:rPr>
                <w:sz w:val="24"/>
              </w:rPr>
              <w:t>MassHealth Family Assistance: Direct Coverage</w:t>
            </w:r>
          </w:p>
        </w:tc>
        <w:tc>
          <w:tcPr>
            <w:tcW w:w="2743" w:type="dxa"/>
          </w:tcPr>
          <w:p w:rsidR="00655E9C" w:rsidRDefault="00655E9C" w:rsidP="003E2CED">
            <w:pPr>
              <w:pStyle w:val="TableParagraph"/>
              <w:spacing w:before="124"/>
              <w:ind w:left="559" w:hanging="305"/>
              <w:rPr>
                <w:sz w:val="24"/>
              </w:rPr>
            </w:pPr>
            <w:r>
              <w:rPr>
                <w:sz w:val="24"/>
              </w:rPr>
              <w:t>$12 per child, $36 max per family group</w:t>
            </w:r>
          </w:p>
        </w:tc>
        <w:tc>
          <w:tcPr>
            <w:tcW w:w="4517" w:type="dxa"/>
          </w:tcPr>
          <w:p w:rsidR="00655E9C" w:rsidRDefault="00655E9C" w:rsidP="003E2CED">
            <w:pPr>
              <w:pStyle w:val="TableParagraph"/>
              <w:spacing w:before="5"/>
              <w:rPr>
                <w:b/>
                <w:sz w:val="23"/>
              </w:rPr>
            </w:pPr>
          </w:p>
          <w:p w:rsidR="00655E9C" w:rsidRDefault="00655E9C" w:rsidP="003E2CED">
            <w:pPr>
              <w:pStyle w:val="TableParagraph"/>
              <w:spacing w:before="1"/>
              <w:ind w:left="100"/>
              <w:rPr>
                <w:sz w:val="24"/>
              </w:rPr>
            </w:pPr>
            <w:r>
              <w:rPr>
                <w:sz w:val="24"/>
              </w:rPr>
              <w:t>Children only-no copayments.</w:t>
            </w:r>
          </w:p>
        </w:tc>
      </w:tr>
    </w:tbl>
    <w:p w:rsidR="00655E9C" w:rsidRDefault="00655E9C" w:rsidP="00655E9C">
      <w:pPr>
        <w:pStyle w:val="BodyText"/>
        <w:rPr>
          <w:b/>
          <w:sz w:val="20"/>
        </w:rPr>
      </w:pPr>
    </w:p>
    <w:p w:rsidR="00655E9C" w:rsidRDefault="00655E9C" w:rsidP="00655E9C">
      <w:pPr>
        <w:pStyle w:val="BodyText"/>
        <w:rPr>
          <w:b/>
          <w:sz w:val="12"/>
        </w:rPr>
      </w:pPr>
    </w:p>
    <w:tbl>
      <w:tblPr>
        <w:tblW w:w="0" w:type="auto"/>
        <w:tblInd w:w="2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46"/>
        <w:gridCol w:w="2107"/>
      </w:tblGrid>
      <w:tr w:rsidR="00655E9C" w:rsidTr="003E2CED">
        <w:trPr>
          <w:trHeight w:hRule="exact" w:val="559"/>
        </w:trPr>
        <w:tc>
          <w:tcPr>
            <w:tcW w:w="4553" w:type="dxa"/>
            <w:gridSpan w:val="2"/>
            <w:shd w:val="clear" w:color="auto" w:fill="C1C1C1"/>
          </w:tcPr>
          <w:p w:rsidR="00655E9C" w:rsidRDefault="00655E9C" w:rsidP="003E2CED">
            <w:pPr>
              <w:pStyle w:val="TableParagraph"/>
              <w:spacing w:before="1" w:line="274" w:lineRule="exact"/>
              <w:ind w:left="940" w:hanging="536"/>
              <w:rPr>
                <w:b/>
                <w:sz w:val="24"/>
              </w:rPr>
            </w:pPr>
            <w:r>
              <w:rPr>
                <w:b/>
                <w:sz w:val="24"/>
              </w:rPr>
              <w:t>Breast and Cervical Cancer Treatment Program Premium Schedule</w:t>
            </w:r>
          </w:p>
        </w:tc>
      </w:tr>
      <w:tr w:rsidR="00655E9C" w:rsidTr="003E2CED">
        <w:trPr>
          <w:trHeight w:hRule="exact" w:val="286"/>
        </w:trPr>
        <w:tc>
          <w:tcPr>
            <w:tcW w:w="2446" w:type="dxa"/>
            <w:shd w:val="clear" w:color="auto" w:fill="C1C1C1"/>
          </w:tcPr>
          <w:p w:rsidR="00655E9C" w:rsidRDefault="00655E9C" w:rsidP="003E2CED">
            <w:pPr>
              <w:pStyle w:val="TableParagraph"/>
              <w:spacing w:line="273" w:lineRule="exact"/>
              <w:ind w:left="616"/>
              <w:rPr>
                <w:b/>
                <w:sz w:val="24"/>
              </w:rPr>
            </w:pPr>
            <w:r>
              <w:rPr>
                <w:b/>
                <w:sz w:val="24"/>
              </w:rPr>
              <w:t>Percent of FPL</w:t>
            </w:r>
          </w:p>
        </w:tc>
        <w:tc>
          <w:tcPr>
            <w:tcW w:w="2107" w:type="dxa"/>
            <w:shd w:val="clear" w:color="auto" w:fill="C1C1C1"/>
          </w:tcPr>
          <w:p w:rsidR="00655E9C" w:rsidRDefault="00655E9C" w:rsidP="003E2CED">
            <w:pPr>
              <w:pStyle w:val="TableParagraph"/>
              <w:spacing w:line="273" w:lineRule="exact"/>
              <w:ind w:left="251"/>
              <w:rPr>
                <w:b/>
                <w:sz w:val="24"/>
              </w:rPr>
            </w:pPr>
            <w:r>
              <w:rPr>
                <w:b/>
                <w:sz w:val="24"/>
              </w:rPr>
              <w:t>Premium Cost</w:t>
            </w:r>
          </w:p>
        </w:tc>
      </w:tr>
      <w:tr w:rsidR="00655E9C" w:rsidTr="003E2CED">
        <w:trPr>
          <w:trHeight w:hRule="exact" w:val="288"/>
        </w:trPr>
        <w:tc>
          <w:tcPr>
            <w:tcW w:w="2446" w:type="dxa"/>
          </w:tcPr>
          <w:p w:rsidR="00655E9C" w:rsidRDefault="00655E9C" w:rsidP="003E2CED">
            <w:pPr>
              <w:pStyle w:val="TableParagraph"/>
              <w:spacing w:line="268" w:lineRule="exact"/>
              <w:ind w:left="103"/>
              <w:rPr>
                <w:sz w:val="24"/>
              </w:rPr>
            </w:pPr>
            <w:r>
              <w:rPr>
                <w:sz w:val="24"/>
              </w:rPr>
              <w:t>Above 150 to 160</w:t>
            </w:r>
          </w:p>
        </w:tc>
        <w:tc>
          <w:tcPr>
            <w:tcW w:w="2107" w:type="dxa"/>
          </w:tcPr>
          <w:p w:rsidR="00655E9C" w:rsidRDefault="00655E9C" w:rsidP="003E2CED">
            <w:pPr>
              <w:pStyle w:val="TableParagraph"/>
              <w:spacing w:line="268" w:lineRule="exact"/>
              <w:ind w:left="103"/>
              <w:rPr>
                <w:sz w:val="24"/>
              </w:rPr>
            </w:pPr>
            <w:r>
              <w:rPr>
                <w:sz w:val="24"/>
              </w:rPr>
              <w:t>$15</w:t>
            </w:r>
          </w:p>
        </w:tc>
      </w:tr>
      <w:tr w:rsidR="00655E9C" w:rsidTr="003E2CED">
        <w:trPr>
          <w:trHeight w:hRule="exact" w:val="286"/>
        </w:trPr>
        <w:tc>
          <w:tcPr>
            <w:tcW w:w="2446" w:type="dxa"/>
          </w:tcPr>
          <w:p w:rsidR="00655E9C" w:rsidRDefault="00655E9C" w:rsidP="003E2CED">
            <w:pPr>
              <w:pStyle w:val="TableParagraph"/>
              <w:spacing w:line="266" w:lineRule="exact"/>
              <w:ind w:left="103"/>
              <w:rPr>
                <w:sz w:val="24"/>
              </w:rPr>
            </w:pPr>
            <w:r>
              <w:rPr>
                <w:sz w:val="24"/>
              </w:rPr>
              <w:t>Above 160 to 170</w:t>
            </w:r>
          </w:p>
        </w:tc>
        <w:tc>
          <w:tcPr>
            <w:tcW w:w="2107" w:type="dxa"/>
          </w:tcPr>
          <w:p w:rsidR="00655E9C" w:rsidRDefault="00655E9C" w:rsidP="003E2CED">
            <w:pPr>
              <w:pStyle w:val="TableParagraph"/>
              <w:spacing w:line="266" w:lineRule="exact"/>
              <w:ind w:left="103"/>
              <w:rPr>
                <w:sz w:val="24"/>
              </w:rPr>
            </w:pPr>
            <w:r>
              <w:rPr>
                <w:sz w:val="24"/>
              </w:rPr>
              <w:t>$20</w:t>
            </w:r>
          </w:p>
        </w:tc>
      </w:tr>
      <w:tr w:rsidR="00655E9C" w:rsidTr="003E2CED">
        <w:trPr>
          <w:trHeight w:hRule="exact" w:val="286"/>
        </w:trPr>
        <w:tc>
          <w:tcPr>
            <w:tcW w:w="2446" w:type="dxa"/>
          </w:tcPr>
          <w:p w:rsidR="00655E9C" w:rsidRDefault="00655E9C" w:rsidP="003E2CED">
            <w:pPr>
              <w:pStyle w:val="TableParagraph"/>
              <w:spacing w:line="266" w:lineRule="exact"/>
              <w:ind w:left="103"/>
              <w:rPr>
                <w:sz w:val="24"/>
              </w:rPr>
            </w:pPr>
            <w:r>
              <w:rPr>
                <w:sz w:val="24"/>
              </w:rPr>
              <w:t>Above 170 to 180</w:t>
            </w:r>
          </w:p>
        </w:tc>
        <w:tc>
          <w:tcPr>
            <w:tcW w:w="2107" w:type="dxa"/>
          </w:tcPr>
          <w:p w:rsidR="00655E9C" w:rsidRDefault="00655E9C" w:rsidP="003E2CED">
            <w:pPr>
              <w:pStyle w:val="TableParagraph"/>
              <w:spacing w:line="266" w:lineRule="exact"/>
              <w:ind w:left="103"/>
              <w:rPr>
                <w:sz w:val="24"/>
              </w:rPr>
            </w:pPr>
            <w:r>
              <w:rPr>
                <w:sz w:val="24"/>
              </w:rPr>
              <w:t>$25</w:t>
            </w:r>
          </w:p>
        </w:tc>
      </w:tr>
      <w:tr w:rsidR="00655E9C" w:rsidTr="003E2CED">
        <w:trPr>
          <w:trHeight w:hRule="exact" w:val="286"/>
        </w:trPr>
        <w:tc>
          <w:tcPr>
            <w:tcW w:w="2446" w:type="dxa"/>
          </w:tcPr>
          <w:p w:rsidR="00655E9C" w:rsidRDefault="00655E9C" w:rsidP="003E2CED">
            <w:pPr>
              <w:pStyle w:val="TableParagraph"/>
              <w:spacing w:line="266" w:lineRule="exact"/>
              <w:ind w:left="103"/>
              <w:rPr>
                <w:sz w:val="24"/>
              </w:rPr>
            </w:pPr>
            <w:r>
              <w:rPr>
                <w:sz w:val="24"/>
              </w:rPr>
              <w:t>Above 180 to 190</w:t>
            </w:r>
          </w:p>
        </w:tc>
        <w:tc>
          <w:tcPr>
            <w:tcW w:w="2107" w:type="dxa"/>
          </w:tcPr>
          <w:p w:rsidR="00655E9C" w:rsidRDefault="00655E9C" w:rsidP="003E2CED">
            <w:pPr>
              <w:pStyle w:val="TableParagraph"/>
              <w:spacing w:line="266" w:lineRule="exact"/>
              <w:ind w:left="103"/>
              <w:rPr>
                <w:sz w:val="24"/>
              </w:rPr>
            </w:pPr>
            <w:r>
              <w:rPr>
                <w:sz w:val="24"/>
              </w:rPr>
              <w:t>$30</w:t>
            </w:r>
          </w:p>
        </w:tc>
      </w:tr>
      <w:tr w:rsidR="00655E9C" w:rsidTr="003E2CED">
        <w:trPr>
          <w:trHeight w:hRule="exact" w:val="286"/>
        </w:trPr>
        <w:tc>
          <w:tcPr>
            <w:tcW w:w="2446" w:type="dxa"/>
          </w:tcPr>
          <w:p w:rsidR="00655E9C" w:rsidRDefault="00655E9C" w:rsidP="003E2CED">
            <w:pPr>
              <w:pStyle w:val="TableParagraph"/>
              <w:spacing w:line="266" w:lineRule="exact"/>
              <w:ind w:left="103"/>
              <w:rPr>
                <w:sz w:val="24"/>
              </w:rPr>
            </w:pPr>
            <w:r>
              <w:rPr>
                <w:sz w:val="24"/>
              </w:rPr>
              <w:t>Above 190 to 200</w:t>
            </w:r>
          </w:p>
        </w:tc>
        <w:tc>
          <w:tcPr>
            <w:tcW w:w="2107" w:type="dxa"/>
          </w:tcPr>
          <w:p w:rsidR="00655E9C" w:rsidRDefault="00655E9C" w:rsidP="003E2CED">
            <w:pPr>
              <w:pStyle w:val="TableParagraph"/>
              <w:spacing w:line="266" w:lineRule="exact"/>
              <w:ind w:left="103"/>
              <w:rPr>
                <w:sz w:val="24"/>
              </w:rPr>
            </w:pPr>
            <w:r>
              <w:rPr>
                <w:sz w:val="24"/>
              </w:rPr>
              <w:t>$35</w:t>
            </w:r>
          </w:p>
        </w:tc>
      </w:tr>
      <w:tr w:rsidR="00655E9C" w:rsidTr="003E2CED">
        <w:trPr>
          <w:trHeight w:hRule="exact" w:val="288"/>
        </w:trPr>
        <w:tc>
          <w:tcPr>
            <w:tcW w:w="2446" w:type="dxa"/>
          </w:tcPr>
          <w:p w:rsidR="00655E9C" w:rsidRDefault="00655E9C" w:rsidP="003E2CED">
            <w:pPr>
              <w:pStyle w:val="TableParagraph"/>
              <w:spacing w:line="270" w:lineRule="exact"/>
              <w:ind w:left="103"/>
              <w:rPr>
                <w:sz w:val="24"/>
              </w:rPr>
            </w:pPr>
            <w:r>
              <w:rPr>
                <w:sz w:val="24"/>
              </w:rPr>
              <w:t>Above 200 to 210</w:t>
            </w:r>
          </w:p>
        </w:tc>
        <w:tc>
          <w:tcPr>
            <w:tcW w:w="2107" w:type="dxa"/>
          </w:tcPr>
          <w:p w:rsidR="00655E9C" w:rsidRDefault="00655E9C" w:rsidP="003E2CED">
            <w:pPr>
              <w:pStyle w:val="TableParagraph"/>
              <w:spacing w:line="270" w:lineRule="exact"/>
              <w:ind w:left="103"/>
              <w:rPr>
                <w:sz w:val="24"/>
              </w:rPr>
            </w:pPr>
            <w:r>
              <w:rPr>
                <w:sz w:val="24"/>
              </w:rPr>
              <w:t>$40</w:t>
            </w:r>
          </w:p>
        </w:tc>
      </w:tr>
      <w:tr w:rsidR="00655E9C" w:rsidTr="003E2CED">
        <w:trPr>
          <w:trHeight w:hRule="exact" w:val="288"/>
        </w:trPr>
        <w:tc>
          <w:tcPr>
            <w:tcW w:w="2446" w:type="dxa"/>
          </w:tcPr>
          <w:p w:rsidR="00655E9C" w:rsidRDefault="00655E9C" w:rsidP="003E2CED">
            <w:pPr>
              <w:pStyle w:val="TableParagraph"/>
              <w:spacing w:line="268" w:lineRule="exact"/>
              <w:ind w:left="103"/>
              <w:rPr>
                <w:sz w:val="24"/>
              </w:rPr>
            </w:pPr>
            <w:r>
              <w:rPr>
                <w:sz w:val="24"/>
              </w:rPr>
              <w:t>Above 210 to 220</w:t>
            </w:r>
          </w:p>
        </w:tc>
        <w:tc>
          <w:tcPr>
            <w:tcW w:w="2107" w:type="dxa"/>
          </w:tcPr>
          <w:p w:rsidR="00655E9C" w:rsidRDefault="00655E9C" w:rsidP="003E2CED">
            <w:pPr>
              <w:pStyle w:val="TableParagraph"/>
              <w:spacing w:line="268" w:lineRule="exact"/>
              <w:ind w:left="103"/>
              <w:rPr>
                <w:sz w:val="24"/>
              </w:rPr>
            </w:pPr>
            <w:r>
              <w:rPr>
                <w:sz w:val="24"/>
              </w:rPr>
              <w:t>$48</w:t>
            </w:r>
          </w:p>
        </w:tc>
      </w:tr>
      <w:tr w:rsidR="00655E9C" w:rsidTr="003E2CED">
        <w:trPr>
          <w:trHeight w:hRule="exact" w:val="286"/>
        </w:trPr>
        <w:tc>
          <w:tcPr>
            <w:tcW w:w="2446" w:type="dxa"/>
          </w:tcPr>
          <w:p w:rsidR="00655E9C" w:rsidRDefault="00655E9C" w:rsidP="003E2CED">
            <w:pPr>
              <w:pStyle w:val="TableParagraph"/>
              <w:spacing w:line="266" w:lineRule="exact"/>
              <w:ind w:left="103"/>
              <w:rPr>
                <w:sz w:val="24"/>
              </w:rPr>
            </w:pPr>
            <w:r>
              <w:rPr>
                <w:sz w:val="24"/>
              </w:rPr>
              <w:t>Above 220 to 230</w:t>
            </w:r>
          </w:p>
        </w:tc>
        <w:tc>
          <w:tcPr>
            <w:tcW w:w="2107" w:type="dxa"/>
          </w:tcPr>
          <w:p w:rsidR="00655E9C" w:rsidRDefault="00655E9C" w:rsidP="003E2CED">
            <w:pPr>
              <w:pStyle w:val="TableParagraph"/>
              <w:spacing w:line="266" w:lineRule="exact"/>
              <w:ind w:left="103"/>
              <w:rPr>
                <w:sz w:val="24"/>
              </w:rPr>
            </w:pPr>
            <w:r>
              <w:rPr>
                <w:sz w:val="24"/>
              </w:rPr>
              <w:t>$56</w:t>
            </w:r>
          </w:p>
        </w:tc>
      </w:tr>
      <w:tr w:rsidR="00655E9C" w:rsidTr="003E2CED">
        <w:trPr>
          <w:trHeight w:hRule="exact" w:val="286"/>
        </w:trPr>
        <w:tc>
          <w:tcPr>
            <w:tcW w:w="2446" w:type="dxa"/>
          </w:tcPr>
          <w:p w:rsidR="00655E9C" w:rsidRDefault="00655E9C" w:rsidP="003E2CED">
            <w:pPr>
              <w:pStyle w:val="TableParagraph"/>
              <w:spacing w:line="266" w:lineRule="exact"/>
              <w:ind w:left="103"/>
              <w:rPr>
                <w:sz w:val="24"/>
              </w:rPr>
            </w:pPr>
            <w:r>
              <w:rPr>
                <w:sz w:val="24"/>
              </w:rPr>
              <w:t>Above 230 to 240</w:t>
            </w:r>
          </w:p>
        </w:tc>
        <w:tc>
          <w:tcPr>
            <w:tcW w:w="2107" w:type="dxa"/>
          </w:tcPr>
          <w:p w:rsidR="00655E9C" w:rsidRDefault="00655E9C" w:rsidP="003E2CED">
            <w:pPr>
              <w:pStyle w:val="TableParagraph"/>
              <w:spacing w:line="266" w:lineRule="exact"/>
              <w:ind w:left="103"/>
              <w:rPr>
                <w:sz w:val="24"/>
              </w:rPr>
            </w:pPr>
            <w:r>
              <w:rPr>
                <w:sz w:val="24"/>
              </w:rPr>
              <w:t>$64</w:t>
            </w:r>
          </w:p>
        </w:tc>
      </w:tr>
      <w:tr w:rsidR="00655E9C" w:rsidTr="003E2CED">
        <w:trPr>
          <w:trHeight w:hRule="exact" w:val="286"/>
        </w:trPr>
        <w:tc>
          <w:tcPr>
            <w:tcW w:w="2446" w:type="dxa"/>
          </w:tcPr>
          <w:p w:rsidR="00655E9C" w:rsidRDefault="00655E9C" w:rsidP="003E2CED">
            <w:pPr>
              <w:pStyle w:val="TableParagraph"/>
              <w:spacing w:line="266" w:lineRule="exact"/>
              <w:ind w:left="103"/>
              <w:rPr>
                <w:sz w:val="24"/>
              </w:rPr>
            </w:pPr>
            <w:r>
              <w:rPr>
                <w:sz w:val="24"/>
              </w:rPr>
              <w:t>Above 240 to 250</w:t>
            </w:r>
          </w:p>
        </w:tc>
        <w:tc>
          <w:tcPr>
            <w:tcW w:w="2107" w:type="dxa"/>
          </w:tcPr>
          <w:p w:rsidR="00655E9C" w:rsidRDefault="00655E9C" w:rsidP="003E2CED">
            <w:pPr>
              <w:pStyle w:val="TableParagraph"/>
              <w:spacing w:line="266" w:lineRule="exact"/>
              <w:ind w:left="103"/>
              <w:rPr>
                <w:sz w:val="24"/>
              </w:rPr>
            </w:pPr>
            <w:r>
              <w:rPr>
                <w:sz w:val="24"/>
              </w:rPr>
              <w:t>$72</w:t>
            </w:r>
          </w:p>
        </w:tc>
      </w:tr>
    </w:tbl>
    <w:p w:rsidR="00655E9C" w:rsidRDefault="00655E9C" w:rsidP="00655E9C">
      <w:pPr>
        <w:pStyle w:val="BodyText"/>
        <w:rPr>
          <w:b/>
        </w:rPr>
      </w:pPr>
    </w:p>
    <w:tbl>
      <w:tblPr>
        <w:tblW w:w="0" w:type="auto"/>
        <w:tblInd w:w="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07"/>
        <w:gridCol w:w="4140"/>
        <w:gridCol w:w="1795"/>
      </w:tblGrid>
      <w:tr w:rsidR="00655E9C" w:rsidTr="003E2CED">
        <w:trPr>
          <w:trHeight w:hRule="exact" w:val="288"/>
        </w:trPr>
        <w:tc>
          <w:tcPr>
            <w:tcW w:w="9542" w:type="dxa"/>
            <w:gridSpan w:val="3"/>
            <w:shd w:val="clear" w:color="auto" w:fill="DBDBDB"/>
          </w:tcPr>
          <w:p w:rsidR="00655E9C" w:rsidRDefault="00655E9C" w:rsidP="003E2CED">
            <w:pPr>
              <w:pStyle w:val="TableParagraph"/>
              <w:spacing w:line="270" w:lineRule="exact"/>
              <w:ind w:left="2712"/>
              <w:rPr>
                <w:b/>
                <w:sz w:val="24"/>
              </w:rPr>
            </w:pPr>
            <w:r>
              <w:rPr>
                <w:b/>
                <w:sz w:val="24"/>
              </w:rPr>
              <w:t>CommonHealth Full Premium Schedule</w:t>
            </w:r>
          </w:p>
        </w:tc>
      </w:tr>
      <w:tr w:rsidR="00655E9C" w:rsidTr="003E2CED">
        <w:trPr>
          <w:trHeight w:hRule="exact" w:val="562"/>
        </w:trPr>
        <w:tc>
          <w:tcPr>
            <w:tcW w:w="3607" w:type="dxa"/>
            <w:shd w:val="clear" w:color="auto" w:fill="C2C2C2"/>
          </w:tcPr>
          <w:p w:rsidR="00655E9C" w:rsidRDefault="00655E9C" w:rsidP="003E2CED">
            <w:pPr>
              <w:pStyle w:val="TableParagraph"/>
              <w:spacing w:before="131"/>
              <w:ind w:left="1231"/>
              <w:rPr>
                <w:b/>
                <w:sz w:val="24"/>
              </w:rPr>
            </w:pPr>
            <w:r>
              <w:rPr>
                <w:b/>
                <w:sz w:val="24"/>
              </w:rPr>
              <w:t>Base Premium</w:t>
            </w:r>
          </w:p>
        </w:tc>
        <w:tc>
          <w:tcPr>
            <w:tcW w:w="4140" w:type="dxa"/>
            <w:shd w:val="clear" w:color="auto" w:fill="C2C2C2"/>
          </w:tcPr>
          <w:p w:rsidR="00655E9C" w:rsidRDefault="00655E9C" w:rsidP="003E2CED">
            <w:pPr>
              <w:pStyle w:val="TableParagraph"/>
              <w:spacing w:before="131"/>
              <w:ind w:left="743"/>
              <w:rPr>
                <w:b/>
                <w:sz w:val="24"/>
              </w:rPr>
            </w:pPr>
            <w:r>
              <w:rPr>
                <w:b/>
                <w:sz w:val="24"/>
              </w:rPr>
              <w:t>Additional Premium Cost</w:t>
            </w:r>
          </w:p>
        </w:tc>
        <w:tc>
          <w:tcPr>
            <w:tcW w:w="1795" w:type="dxa"/>
            <w:shd w:val="clear" w:color="auto" w:fill="C2C2C2"/>
          </w:tcPr>
          <w:p w:rsidR="00655E9C" w:rsidRDefault="00655E9C" w:rsidP="003E2CED">
            <w:pPr>
              <w:pStyle w:val="TableParagraph"/>
              <w:ind w:left="151" w:firstLine="285"/>
              <w:rPr>
                <w:b/>
                <w:sz w:val="24"/>
              </w:rPr>
            </w:pPr>
            <w:r>
              <w:rPr>
                <w:b/>
                <w:sz w:val="24"/>
              </w:rPr>
              <w:t>Range of Premium Cost</w:t>
            </w:r>
          </w:p>
        </w:tc>
      </w:tr>
      <w:tr w:rsidR="00655E9C" w:rsidTr="003E2CED">
        <w:trPr>
          <w:trHeight w:hRule="exact" w:val="564"/>
        </w:trPr>
        <w:tc>
          <w:tcPr>
            <w:tcW w:w="3607" w:type="dxa"/>
          </w:tcPr>
          <w:p w:rsidR="00655E9C" w:rsidRDefault="00655E9C" w:rsidP="003E2CED">
            <w:pPr>
              <w:pStyle w:val="TableParagraph"/>
              <w:spacing w:before="124"/>
              <w:ind w:left="105"/>
              <w:rPr>
                <w:sz w:val="24"/>
              </w:rPr>
            </w:pPr>
            <w:r>
              <w:rPr>
                <w:sz w:val="24"/>
              </w:rPr>
              <w:t>Above 150% FPL—start at $15</w:t>
            </w:r>
          </w:p>
        </w:tc>
        <w:tc>
          <w:tcPr>
            <w:tcW w:w="4140" w:type="dxa"/>
          </w:tcPr>
          <w:p w:rsidR="00655E9C" w:rsidRDefault="00655E9C" w:rsidP="003E2CED">
            <w:pPr>
              <w:pStyle w:val="TableParagraph"/>
              <w:ind w:left="103" w:right="461"/>
              <w:rPr>
                <w:sz w:val="24"/>
              </w:rPr>
            </w:pPr>
            <w:r>
              <w:rPr>
                <w:sz w:val="24"/>
              </w:rPr>
              <w:t>Add $5 for each additional 10% FPL until 200% FPL</w:t>
            </w:r>
          </w:p>
        </w:tc>
        <w:tc>
          <w:tcPr>
            <w:tcW w:w="1795" w:type="dxa"/>
          </w:tcPr>
          <w:p w:rsidR="00655E9C" w:rsidRDefault="00655E9C" w:rsidP="003E2CED">
            <w:pPr>
              <w:pStyle w:val="TableParagraph"/>
              <w:spacing w:before="77"/>
              <w:ind w:left="103"/>
              <w:rPr>
                <w:sz w:val="24"/>
              </w:rPr>
            </w:pPr>
            <w:r>
              <w:rPr>
                <w:sz w:val="24"/>
              </w:rPr>
              <w:t xml:space="preserve">$15 </w:t>
            </w:r>
            <w:r>
              <w:rPr>
                <w:rFonts w:ascii="PMingLiU" w:hAnsi="PMingLiU"/>
                <w:sz w:val="24"/>
              </w:rPr>
              <w:t xml:space="preserve">- </w:t>
            </w:r>
            <w:r>
              <w:rPr>
                <w:sz w:val="24"/>
              </w:rPr>
              <w:t>$35</w:t>
            </w:r>
          </w:p>
        </w:tc>
      </w:tr>
      <w:tr w:rsidR="00655E9C" w:rsidTr="003E2CED">
        <w:trPr>
          <w:trHeight w:hRule="exact" w:val="562"/>
        </w:trPr>
        <w:tc>
          <w:tcPr>
            <w:tcW w:w="3607" w:type="dxa"/>
          </w:tcPr>
          <w:p w:rsidR="00655E9C" w:rsidRDefault="00655E9C" w:rsidP="003E2CED">
            <w:pPr>
              <w:pStyle w:val="TableParagraph"/>
              <w:spacing w:before="121"/>
              <w:ind w:left="105"/>
              <w:rPr>
                <w:sz w:val="24"/>
              </w:rPr>
            </w:pPr>
            <w:r>
              <w:rPr>
                <w:sz w:val="24"/>
              </w:rPr>
              <w:t>Above 200% FPL—start at $40</w:t>
            </w:r>
          </w:p>
        </w:tc>
        <w:tc>
          <w:tcPr>
            <w:tcW w:w="4140" w:type="dxa"/>
          </w:tcPr>
          <w:p w:rsidR="00655E9C" w:rsidRDefault="00655E9C" w:rsidP="003E2CED">
            <w:pPr>
              <w:pStyle w:val="TableParagraph"/>
              <w:ind w:left="103" w:right="461"/>
              <w:rPr>
                <w:sz w:val="24"/>
              </w:rPr>
            </w:pPr>
            <w:r>
              <w:rPr>
                <w:sz w:val="24"/>
              </w:rPr>
              <w:t>Add $8 for each additional 10% FPL until 400% FPL</w:t>
            </w:r>
          </w:p>
        </w:tc>
        <w:tc>
          <w:tcPr>
            <w:tcW w:w="1795" w:type="dxa"/>
          </w:tcPr>
          <w:p w:rsidR="00655E9C" w:rsidRDefault="00655E9C" w:rsidP="003E2CED">
            <w:pPr>
              <w:pStyle w:val="TableParagraph"/>
              <w:spacing w:before="74"/>
              <w:ind w:left="103"/>
              <w:rPr>
                <w:sz w:val="24"/>
              </w:rPr>
            </w:pPr>
            <w:r>
              <w:rPr>
                <w:sz w:val="24"/>
              </w:rPr>
              <w:t xml:space="preserve">$40 </w:t>
            </w:r>
            <w:r>
              <w:rPr>
                <w:rFonts w:ascii="PMingLiU" w:hAnsi="PMingLiU"/>
                <w:sz w:val="24"/>
              </w:rPr>
              <w:t xml:space="preserve">- </w:t>
            </w:r>
            <w:r>
              <w:rPr>
                <w:sz w:val="24"/>
              </w:rPr>
              <w:t>$192</w:t>
            </w:r>
          </w:p>
        </w:tc>
      </w:tr>
      <w:tr w:rsidR="00655E9C" w:rsidTr="003E2CED">
        <w:trPr>
          <w:trHeight w:hRule="exact" w:val="562"/>
        </w:trPr>
        <w:tc>
          <w:tcPr>
            <w:tcW w:w="3607" w:type="dxa"/>
          </w:tcPr>
          <w:p w:rsidR="00655E9C" w:rsidRDefault="00655E9C" w:rsidP="003E2CED">
            <w:pPr>
              <w:pStyle w:val="TableParagraph"/>
              <w:spacing w:before="124"/>
              <w:ind w:left="105"/>
              <w:rPr>
                <w:sz w:val="24"/>
              </w:rPr>
            </w:pPr>
            <w:r>
              <w:rPr>
                <w:sz w:val="24"/>
              </w:rPr>
              <w:t>Above 400% FPL—start at $202</w:t>
            </w:r>
          </w:p>
        </w:tc>
        <w:tc>
          <w:tcPr>
            <w:tcW w:w="4140" w:type="dxa"/>
          </w:tcPr>
          <w:p w:rsidR="00655E9C" w:rsidRDefault="00655E9C" w:rsidP="003E2CED">
            <w:pPr>
              <w:pStyle w:val="TableParagraph"/>
              <w:ind w:left="103" w:right="341"/>
              <w:rPr>
                <w:sz w:val="24"/>
              </w:rPr>
            </w:pPr>
            <w:r>
              <w:rPr>
                <w:sz w:val="24"/>
              </w:rPr>
              <w:t>Add $10 for each additional 10% FPL until 600% FPL</w:t>
            </w:r>
          </w:p>
        </w:tc>
        <w:tc>
          <w:tcPr>
            <w:tcW w:w="1795" w:type="dxa"/>
          </w:tcPr>
          <w:p w:rsidR="00655E9C" w:rsidRDefault="00655E9C" w:rsidP="003E2CED">
            <w:pPr>
              <w:pStyle w:val="TableParagraph"/>
              <w:spacing w:before="74"/>
              <w:ind w:left="103"/>
              <w:rPr>
                <w:sz w:val="24"/>
              </w:rPr>
            </w:pPr>
            <w:r>
              <w:rPr>
                <w:sz w:val="24"/>
              </w:rPr>
              <w:t>$202 -</w:t>
            </w:r>
            <w:r>
              <w:rPr>
                <w:rFonts w:ascii="PMingLiU" w:hAnsi="PMingLiU"/>
                <w:sz w:val="24"/>
              </w:rPr>
              <w:t xml:space="preserve"> </w:t>
            </w:r>
            <w:r>
              <w:rPr>
                <w:sz w:val="24"/>
              </w:rPr>
              <w:t>$392</w:t>
            </w:r>
          </w:p>
        </w:tc>
      </w:tr>
      <w:tr w:rsidR="00655E9C" w:rsidTr="003E2CED">
        <w:trPr>
          <w:trHeight w:hRule="exact" w:val="562"/>
        </w:trPr>
        <w:tc>
          <w:tcPr>
            <w:tcW w:w="3607" w:type="dxa"/>
          </w:tcPr>
          <w:p w:rsidR="00655E9C" w:rsidRDefault="00655E9C" w:rsidP="003E2CED">
            <w:pPr>
              <w:pStyle w:val="TableParagraph"/>
              <w:spacing w:before="124"/>
              <w:ind w:left="105"/>
              <w:rPr>
                <w:sz w:val="24"/>
              </w:rPr>
            </w:pPr>
            <w:r>
              <w:rPr>
                <w:sz w:val="24"/>
              </w:rPr>
              <w:t>Above 600% FPL—start at $404</w:t>
            </w:r>
          </w:p>
        </w:tc>
        <w:tc>
          <w:tcPr>
            <w:tcW w:w="4140" w:type="dxa"/>
          </w:tcPr>
          <w:p w:rsidR="00655E9C" w:rsidRDefault="00655E9C" w:rsidP="003E2CED">
            <w:pPr>
              <w:pStyle w:val="TableParagraph"/>
              <w:ind w:left="103" w:right="341"/>
              <w:rPr>
                <w:sz w:val="24"/>
              </w:rPr>
            </w:pPr>
            <w:r>
              <w:rPr>
                <w:sz w:val="24"/>
              </w:rPr>
              <w:t>Add $12 for each additional 10% FPL until 800% FPL</w:t>
            </w:r>
          </w:p>
        </w:tc>
        <w:tc>
          <w:tcPr>
            <w:tcW w:w="1795" w:type="dxa"/>
          </w:tcPr>
          <w:p w:rsidR="00655E9C" w:rsidRDefault="00655E9C" w:rsidP="003E2CED">
            <w:pPr>
              <w:pStyle w:val="TableParagraph"/>
              <w:spacing w:before="74"/>
              <w:ind w:left="103"/>
              <w:rPr>
                <w:sz w:val="24"/>
              </w:rPr>
            </w:pPr>
            <w:r>
              <w:rPr>
                <w:sz w:val="24"/>
              </w:rPr>
              <w:t xml:space="preserve">$404 </w:t>
            </w:r>
            <w:r>
              <w:rPr>
                <w:rFonts w:ascii="PMingLiU" w:hAnsi="PMingLiU"/>
                <w:sz w:val="24"/>
              </w:rPr>
              <w:t xml:space="preserve">- </w:t>
            </w:r>
            <w:r>
              <w:rPr>
                <w:sz w:val="24"/>
              </w:rPr>
              <w:t>$632</w:t>
            </w:r>
          </w:p>
        </w:tc>
      </w:tr>
      <w:tr w:rsidR="00655E9C" w:rsidTr="003E2CED">
        <w:trPr>
          <w:trHeight w:hRule="exact" w:val="562"/>
        </w:trPr>
        <w:tc>
          <w:tcPr>
            <w:tcW w:w="3607" w:type="dxa"/>
          </w:tcPr>
          <w:p w:rsidR="00655E9C" w:rsidRDefault="00655E9C" w:rsidP="003E2CED">
            <w:pPr>
              <w:pStyle w:val="TableParagraph"/>
              <w:spacing w:before="124"/>
              <w:ind w:left="105"/>
              <w:rPr>
                <w:sz w:val="24"/>
              </w:rPr>
            </w:pPr>
            <w:r>
              <w:rPr>
                <w:sz w:val="24"/>
              </w:rPr>
              <w:t>Above 800% FPL—start at $646</w:t>
            </w:r>
          </w:p>
        </w:tc>
        <w:tc>
          <w:tcPr>
            <w:tcW w:w="4140" w:type="dxa"/>
          </w:tcPr>
          <w:p w:rsidR="00655E9C" w:rsidRDefault="00655E9C" w:rsidP="003E2CED">
            <w:pPr>
              <w:pStyle w:val="TableParagraph"/>
              <w:ind w:left="103" w:right="341"/>
              <w:rPr>
                <w:sz w:val="24"/>
              </w:rPr>
            </w:pPr>
            <w:r>
              <w:rPr>
                <w:sz w:val="24"/>
              </w:rPr>
              <w:t>Add $14 for each additional 10% FPL until 1000% FPL</w:t>
            </w:r>
          </w:p>
        </w:tc>
        <w:tc>
          <w:tcPr>
            <w:tcW w:w="1795" w:type="dxa"/>
          </w:tcPr>
          <w:p w:rsidR="00655E9C" w:rsidRDefault="00655E9C" w:rsidP="003E2CED">
            <w:pPr>
              <w:pStyle w:val="TableParagraph"/>
              <w:spacing w:before="74"/>
              <w:ind w:left="103"/>
              <w:rPr>
                <w:sz w:val="24"/>
              </w:rPr>
            </w:pPr>
            <w:r>
              <w:rPr>
                <w:sz w:val="24"/>
              </w:rPr>
              <w:t xml:space="preserve">$646 </w:t>
            </w:r>
            <w:r>
              <w:rPr>
                <w:rFonts w:ascii="PMingLiU" w:hAnsi="PMingLiU"/>
                <w:sz w:val="24"/>
              </w:rPr>
              <w:t xml:space="preserve">- </w:t>
            </w:r>
            <w:r>
              <w:rPr>
                <w:sz w:val="24"/>
              </w:rPr>
              <w:t>$912</w:t>
            </w:r>
          </w:p>
        </w:tc>
      </w:tr>
      <w:tr w:rsidR="00655E9C" w:rsidTr="003E2CED">
        <w:trPr>
          <w:trHeight w:hRule="exact" w:val="434"/>
        </w:trPr>
        <w:tc>
          <w:tcPr>
            <w:tcW w:w="3607" w:type="dxa"/>
          </w:tcPr>
          <w:p w:rsidR="00655E9C" w:rsidRDefault="00655E9C" w:rsidP="003E2CED">
            <w:pPr>
              <w:pStyle w:val="TableParagraph"/>
              <w:spacing w:before="59"/>
              <w:ind w:left="105"/>
              <w:rPr>
                <w:sz w:val="24"/>
              </w:rPr>
            </w:pPr>
            <w:r>
              <w:rPr>
                <w:sz w:val="24"/>
              </w:rPr>
              <w:t>Above 1000% FPL—start at $928</w:t>
            </w:r>
          </w:p>
        </w:tc>
        <w:tc>
          <w:tcPr>
            <w:tcW w:w="4140" w:type="dxa"/>
          </w:tcPr>
          <w:p w:rsidR="00655E9C" w:rsidRDefault="00655E9C" w:rsidP="003E2CED">
            <w:pPr>
              <w:pStyle w:val="TableParagraph"/>
              <w:spacing w:before="59"/>
              <w:ind w:left="103"/>
              <w:rPr>
                <w:sz w:val="24"/>
              </w:rPr>
            </w:pPr>
            <w:r>
              <w:rPr>
                <w:sz w:val="24"/>
              </w:rPr>
              <w:t>Add $16 for each additional 10% FPL</w:t>
            </w:r>
          </w:p>
        </w:tc>
        <w:tc>
          <w:tcPr>
            <w:tcW w:w="1795" w:type="dxa"/>
          </w:tcPr>
          <w:p w:rsidR="00655E9C" w:rsidRDefault="00655E9C" w:rsidP="003E2CED">
            <w:pPr>
              <w:pStyle w:val="TableParagraph"/>
              <w:spacing w:before="9"/>
              <w:ind w:left="103"/>
              <w:rPr>
                <w:sz w:val="24"/>
              </w:rPr>
            </w:pPr>
            <w:r>
              <w:rPr>
                <w:sz w:val="24"/>
              </w:rPr>
              <w:t xml:space="preserve">$928 </w:t>
            </w:r>
            <w:r>
              <w:rPr>
                <w:rFonts w:ascii="PMingLiU" w:hAnsi="PMingLiU"/>
                <w:sz w:val="24"/>
              </w:rPr>
              <w:t xml:space="preserve">- </w:t>
            </w:r>
            <w:r>
              <w:rPr>
                <w:sz w:val="24"/>
              </w:rPr>
              <w:t>greater</w:t>
            </w:r>
          </w:p>
        </w:tc>
      </w:tr>
    </w:tbl>
    <w:p w:rsidR="00655E9C" w:rsidRDefault="00655E9C" w:rsidP="00655E9C">
      <w:pPr>
        <w:pStyle w:val="BodyText"/>
        <w:spacing w:before="8"/>
        <w:rPr>
          <w:b/>
          <w:sz w:val="21"/>
        </w:rPr>
      </w:pPr>
    </w:p>
    <w:p w:rsidR="00655E9C" w:rsidRDefault="00655E9C" w:rsidP="00655E9C">
      <w:pPr>
        <w:pStyle w:val="BodyText"/>
        <w:spacing w:before="95" w:line="274" w:lineRule="exact"/>
        <w:ind w:left="317" w:right="360"/>
      </w:pPr>
      <w:r>
        <w:t>*A lower premium is required of CommonHealth members who have access to other health insurance per the schedule below.</w:t>
      </w:r>
    </w:p>
    <w:p w:rsidR="00655E9C" w:rsidRDefault="00655E9C" w:rsidP="00655E9C">
      <w:pPr>
        <w:pStyle w:val="BodyText"/>
        <w:spacing w:before="3"/>
        <w:rPr>
          <w:sz w:val="25"/>
        </w:rPr>
      </w:pPr>
    </w:p>
    <w:p w:rsidR="00655E9C" w:rsidRDefault="00655E9C" w:rsidP="00655E9C">
      <w:pPr>
        <w:pStyle w:val="NoSpacing"/>
        <w:jc w:val="center"/>
        <w:rPr>
          <w:b/>
          <w:sz w:val="24"/>
        </w:rPr>
      </w:pPr>
      <w:r w:rsidRPr="00655E9C">
        <w:rPr>
          <w:b/>
          <w:sz w:val="24"/>
        </w:rPr>
        <w:lastRenderedPageBreak/>
        <w:t xml:space="preserve">ATTACHMENT B </w:t>
      </w:r>
    </w:p>
    <w:p w:rsidR="00655E9C" w:rsidRPr="00655E9C" w:rsidRDefault="00655E9C" w:rsidP="00655E9C">
      <w:pPr>
        <w:pStyle w:val="NoSpacing"/>
        <w:jc w:val="center"/>
        <w:rPr>
          <w:b/>
          <w:sz w:val="24"/>
        </w:rPr>
      </w:pPr>
      <w:r w:rsidRPr="00655E9C">
        <w:rPr>
          <w:b/>
          <w:sz w:val="24"/>
        </w:rPr>
        <w:t>COST SHARING</w:t>
      </w:r>
    </w:p>
    <w:p w:rsidR="00655E9C" w:rsidRDefault="00655E9C" w:rsidP="00655E9C">
      <w:pPr>
        <w:pStyle w:val="BodyText"/>
        <w:spacing w:before="3"/>
        <w:rPr>
          <w:sz w:val="25"/>
        </w:rPr>
      </w:pPr>
    </w:p>
    <w:tbl>
      <w:tblPr>
        <w:tblW w:w="0" w:type="auto"/>
        <w:tblInd w:w="9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90"/>
        <w:gridCol w:w="5467"/>
      </w:tblGrid>
      <w:tr w:rsidR="00655E9C" w:rsidTr="003E2CED">
        <w:trPr>
          <w:trHeight w:hRule="exact" w:val="286"/>
        </w:trPr>
        <w:tc>
          <w:tcPr>
            <w:tcW w:w="8057" w:type="dxa"/>
            <w:gridSpan w:val="2"/>
            <w:shd w:val="clear" w:color="auto" w:fill="DBDBDB"/>
          </w:tcPr>
          <w:p w:rsidR="00655E9C" w:rsidRDefault="00655E9C" w:rsidP="003E2CED">
            <w:pPr>
              <w:pStyle w:val="TableParagraph"/>
              <w:spacing w:line="273" w:lineRule="exact"/>
              <w:ind w:left="1466"/>
              <w:rPr>
                <w:b/>
                <w:sz w:val="24"/>
              </w:rPr>
            </w:pPr>
            <w:r>
              <w:rPr>
                <w:b/>
                <w:sz w:val="24"/>
              </w:rPr>
              <w:t>CommonHealth Supplemental Premium Schedule</w:t>
            </w:r>
          </w:p>
        </w:tc>
      </w:tr>
      <w:tr w:rsidR="00655E9C" w:rsidTr="003E2CED">
        <w:trPr>
          <w:trHeight w:hRule="exact" w:val="287"/>
        </w:trPr>
        <w:tc>
          <w:tcPr>
            <w:tcW w:w="2590" w:type="dxa"/>
            <w:tcBorders>
              <w:top w:val="single" w:sz="6" w:space="0" w:color="000000"/>
            </w:tcBorders>
            <w:shd w:val="clear" w:color="auto" w:fill="C1C1C1"/>
          </w:tcPr>
          <w:p w:rsidR="00655E9C" w:rsidRDefault="00655E9C" w:rsidP="003E2CED">
            <w:pPr>
              <w:pStyle w:val="TableParagraph"/>
              <w:spacing w:line="270" w:lineRule="exact"/>
              <w:ind w:left="782"/>
              <w:rPr>
                <w:b/>
                <w:sz w:val="24"/>
              </w:rPr>
            </w:pPr>
            <w:r>
              <w:rPr>
                <w:b/>
                <w:sz w:val="24"/>
              </w:rPr>
              <w:t>% of FPL</w:t>
            </w:r>
          </w:p>
        </w:tc>
        <w:tc>
          <w:tcPr>
            <w:tcW w:w="5467" w:type="dxa"/>
            <w:tcBorders>
              <w:top w:val="single" w:sz="6" w:space="0" w:color="000000"/>
            </w:tcBorders>
            <w:shd w:val="clear" w:color="auto" w:fill="C1C1C1"/>
          </w:tcPr>
          <w:p w:rsidR="00655E9C" w:rsidRDefault="00655E9C" w:rsidP="003E2CED">
            <w:pPr>
              <w:pStyle w:val="TableParagraph"/>
              <w:spacing w:line="270" w:lineRule="exact"/>
              <w:ind w:left="1579"/>
              <w:rPr>
                <w:b/>
                <w:sz w:val="24"/>
              </w:rPr>
            </w:pPr>
            <w:r>
              <w:rPr>
                <w:b/>
                <w:sz w:val="24"/>
              </w:rPr>
              <w:t>Premium requirement</w:t>
            </w:r>
          </w:p>
        </w:tc>
      </w:tr>
      <w:tr w:rsidR="00655E9C" w:rsidTr="003E2CED">
        <w:trPr>
          <w:trHeight w:hRule="exact" w:val="287"/>
        </w:trPr>
        <w:tc>
          <w:tcPr>
            <w:tcW w:w="2590" w:type="dxa"/>
          </w:tcPr>
          <w:p w:rsidR="00655E9C" w:rsidRDefault="00655E9C" w:rsidP="003E2CED">
            <w:pPr>
              <w:pStyle w:val="TableParagraph"/>
              <w:spacing w:line="267" w:lineRule="exact"/>
              <w:ind w:left="103"/>
              <w:rPr>
                <w:sz w:val="24"/>
              </w:rPr>
            </w:pPr>
            <w:r>
              <w:rPr>
                <w:sz w:val="24"/>
              </w:rPr>
              <w:t>Above 150% to 200%</w:t>
            </w:r>
          </w:p>
        </w:tc>
        <w:tc>
          <w:tcPr>
            <w:tcW w:w="5467" w:type="dxa"/>
          </w:tcPr>
          <w:p w:rsidR="00655E9C" w:rsidRDefault="00655E9C" w:rsidP="003E2CED">
            <w:pPr>
              <w:pStyle w:val="TableParagraph"/>
              <w:spacing w:line="267" w:lineRule="exact"/>
              <w:ind w:left="103"/>
              <w:rPr>
                <w:sz w:val="24"/>
              </w:rPr>
            </w:pPr>
            <w:r>
              <w:rPr>
                <w:sz w:val="24"/>
              </w:rPr>
              <w:t>60% of full premium per listed premium costs above</w:t>
            </w:r>
          </w:p>
        </w:tc>
      </w:tr>
      <w:tr w:rsidR="00655E9C" w:rsidTr="003E2CED">
        <w:trPr>
          <w:trHeight w:hRule="exact" w:val="286"/>
        </w:trPr>
        <w:tc>
          <w:tcPr>
            <w:tcW w:w="2590" w:type="dxa"/>
          </w:tcPr>
          <w:p w:rsidR="00655E9C" w:rsidRDefault="00655E9C" w:rsidP="003E2CED">
            <w:pPr>
              <w:pStyle w:val="TableParagraph"/>
              <w:spacing w:line="266" w:lineRule="exact"/>
              <w:ind w:left="103"/>
              <w:rPr>
                <w:sz w:val="24"/>
              </w:rPr>
            </w:pPr>
            <w:r>
              <w:rPr>
                <w:sz w:val="24"/>
              </w:rPr>
              <w:t>Above 200% to 400%</w:t>
            </w:r>
          </w:p>
        </w:tc>
        <w:tc>
          <w:tcPr>
            <w:tcW w:w="5467" w:type="dxa"/>
          </w:tcPr>
          <w:p w:rsidR="00655E9C" w:rsidRDefault="00655E9C" w:rsidP="003E2CED">
            <w:pPr>
              <w:pStyle w:val="TableParagraph"/>
              <w:spacing w:line="266" w:lineRule="exact"/>
              <w:ind w:left="103"/>
              <w:rPr>
                <w:sz w:val="24"/>
              </w:rPr>
            </w:pPr>
            <w:r>
              <w:rPr>
                <w:sz w:val="24"/>
              </w:rPr>
              <w:t>65% per above</w:t>
            </w:r>
          </w:p>
        </w:tc>
      </w:tr>
      <w:tr w:rsidR="00655E9C" w:rsidTr="003E2CED">
        <w:trPr>
          <w:trHeight w:hRule="exact" w:val="286"/>
        </w:trPr>
        <w:tc>
          <w:tcPr>
            <w:tcW w:w="2590" w:type="dxa"/>
          </w:tcPr>
          <w:p w:rsidR="00655E9C" w:rsidRDefault="00655E9C" w:rsidP="003E2CED">
            <w:pPr>
              <w:pStyle w:val="TableParagraph"/>
              <w:spacing w:line="266" w:lineRule="exact"/>
              <w:ind w:left="103"/>
              <w:rPr>
                <w:sz w:val="24"/>
              </w:rPr>
            </w:pPr>
            <w:r>
              <w:rPr>
                <w:sz w:val="24"/>
              </w:rPr>
              <w:t>Above 400% to 600%</w:t>
            </w:r>
          </w:p>
        </w:tc>
        <w:tc>
          <w:tcPr>
            <w:tcW w:w="5467" w:type="dxa"/>
          </w:tcPr>
          <w:p w:rsidR="00655E9C" w:rsidRDefault="00655E9C" w:rsidP="003E2CED">
            <w:pPr>
              <w:pStyle w:val="TableParagraph"/>
              <w:spacing w:line="266" w:lineRule="exact"/>
              <w:ind w:left="103"/>
              <w:rPr>
                <w:sz w:val="24"/>
              </w:rPr>
            </w:pPr>
            <w:r>
              <w:rPr>
                <w:sz w:val="24"/>
              </w:rPr>
              <w:t>70% per above</w:t>
            </w:r>
          </w:p>
        </w:tc>
      </w:tr>
      <w:tr w:rsidR="00655E9C" w:rsidTr="003E2CED">
        <w:trPr>
          <w:trHeight w:hRule="exact" w:val="288"/>
        </w:trPr>
        <w:tc>
          <w:tcPr>
            <w:tcW w:w="2590" w:type="dxa"/>
          </w:tcPr>
          <w:p w:rsidR="00655E9C" w:rsidRDefault="00655E9C" w:rsidP="003E2CED">
            <w:pPr>
              <w:pStyle w:val="TableParagraph"/>
              <w:spacing w:line="266" w:lineRule="exact"/>
              <w:ind w:left="103"/>
              <w:rPr>
                <w:sz w:val="24"/>
              </w:rPr>
            </w:pPr>
            <w:r>
              <w:rPr>
                <w:sz w:val="24"/>
              </w:rPr>
              <w:t>Above 600% to 800%</w:t>
            </w:r>
          </w:p>
        </w:tc>
        <w:tc>
          <w:tcPr>
            <w:tcW w:w="5467" w:type="dxa"/>
          </w:tcPr>
          <w:p w:rsidR="00655E9C" w:rsidRDefault="00655E9C" w:rsidP="003E2CED">
            <w:pPr>
              <w:pStyle w:val="TableParagraph"/>
              <w:spacing w:line="266" w:lineRule="exact"/>
              <w:ind w:left="103"/>
              <w:rPr>
                <w:sz w:val="24"/>
              </w:rPr>
            </w:pPr>
            <w:r>
              <w:rPr>
                <w:sz w:val="24"/>
              </w:rPr>
              <w:t>75% per above</w:t>
            </w:r>
          </w:p>
        </w:tc>
      </w:tr>
      <w:tr w:rsidR="00655E9C" w:rsidTr="003E2CED">
        <w:trPr>
          <w:trHeight w:hRule="exact" w:val="288"/>
        </w:trPr>
        <w:tc>
          <w:tcPr>
            <w:tcW w:w="2590" w:type="dxa"/>
          </w:tcPr>
          <w:p w:rsidR="00655E9C" w:rsidRDefault="00655E9C" w:rsidP="003E2CED">
            <w:pPr>
              <w:pStyle w:val="TableParagraph"/>
              <w:spacing w:line="266" w:lineRule="exact"/>
              <w:ind w:left="103"/>
              <w:rPr>
                <w:sz w:val="24"/>
              </w:rPr>
            </w:pPr>
            <w:r>
              <w:rPr>
                <w:sz w:val="24"/>
              </w:rPr>
              <w:t>Above 800% to 1000%</w:t>
            </w:r>
          </w:p>
        </w:tc>
        <w:tc>
          <w:tcPr>
            <w:tcW w:w="5467" w:type="dxa"/>
          </w:tcPr>
          <w:p w:rsidR="00655E9C" w:rsidRDefault="00655E9C" w:rsidP="003E2CED">
            <w:pPr>
              <w:pStyle w:val="TableParagraph"/>
              <w:spacing w:line="266" w:lineRule="exact"/>
              <w:ind w:left="103"/>
              <w:rPr>
                <w:sz w:val="24"/>
              </w:rPr>
            </w:pPr>
            <w:r>
              <w:rPr>
                <w:sz w:val="24"/>
              </w:rPr>
              <w:t>80% above</w:t>
            </w:r>
          </w:p>
        </w:tc>
      </w:tr>
      <w:tr w:rsidR="00655E9C" w:rsidTr="003E2CED">
        <w:trPr>
          <w:trHeight w:hRule="exact" w:val="288"/>
        </w:trPr>
        <w:tc>
          <w:tcPr>
            <w:tcW w:w="2590" w:type="dxa"/>
          </w:tcPr>
          <w:p w:rsidR="00655E9C" w:rsidRDefault="00655E9C" w:rsidP="003E2CED">
            <w:pPr>
              <w:pStyle w:val="TableParagraph"/>
              <w:spacing w:line="266" w:lineRule="exact"/>
              <w:ind w:left="103"/>
              <w:rPr>
                <w:sz w:val="24"/>
              </w:rPr>
            </w:pPr>
            <w:r>
              <w:rPr>
                <w:sz w:val="24"/>
              </w:rPr>
              <w:t>Above 1000%</w:t>
            </w:r>
          </w:p>
        </w:tc>
        <w:tc>
          <w:tcPr>
            <w:tcW w:w="5467" w:type="dxa"/>
          </w:tcPr>
          <w:p w:rsidR="00655E9C" w:rsidRDefault="00655E9C" w:rsidP="003E2CED">
            <w:pPr>
              <w:pStyle w:val="TableParagraph"/>
              <w:spacing w:line="266" w:lineRule="exact"/>
              <w:ind w:left="103"/>
              <w:rPr>
                <w:sz w:val="24"/>
              </w:rPr>
            </w:pPr>
            <w:r>
              <w:rPr>
                <w:sz w:val="24"/>
              </w:rPr>
              <w:t>85% above</w:t>
            </w:r>
          </w:p>
        </w:tc>
      </w:tr>
    </w:tbl>
    <w:p w:rsidR="00655E9C" w:rsidRDefault="00655E9C" w:rsidP="00655E9C">
      <w:pPr>
        <w:pStyle w:val="BodyText"/>
        <w:rPr>
          <w:sz w:val="20"/>
        </w:rPr>
      </w:pPr>
    </w:p>
    <w:p w:rsidR="00655E9C" w:rsidRDefault="00655E9C" w:rsidP="00655E9C">
      <w:pPr>
        <w:pStyle w:val="BodyText"/>
        <w:spacing w:before="5"/>
        <w:rPr>
          <w:sz w:val="29"/>
        </w:rPr>
      </w:pPr>
    </w:p>
    <w:tbl>
      <w:tblPr>
        <w:tblW w:w="0" w:type="auto"/>
        <w:tblInd w:w="2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59"/>
        <w:gridCol w:w="2700"/>
        <w:gridCol w:w="1800"/>
        <w:gridCol w:w="1817"/>
      </w:tblGrid>
      <w:tr w:rsidR="00655E9C" w:rsidTr="003E2CED">
        <w:trPr>
          <w:trHeight w:hRule="exact" w:val="838"/>
        </w:trPr>
        <w:tc>
          <w:tcPr>
            <w:tcW w:w="3259" w:type="dxa"/>
            <w:shd w:val="clear" w:color="auto" w:fill="DBDBDB"/>
          </w:tcPr>
          <w:p w:rsidR="00655E9C" w:rsidRDefault="00655E9C" w:rsidP="003E2CED">
            <w:pPr>
              <w:pStyle w:val="TableParagraph"/>
              <w:ind w:left="324" w:right="323"/>
              <w:jc w:val="center"/>
              <w:rPr>
                <w:b/>
                <w:sz w:val="24"/>
              </w:rPr>
            </w:pPr>
            <w:r>
              <w:rPr>
                <w:b/>
                <w:sz w:val="24"/>
              </w:rPr>
              <w:t>Small Business Employee Premium Assistance* (effective January 1,</w:t>
            </w:r>
          </w:p>
        </w:tc>
        <w:tc>
          <w:tcPr>
            <w:tcW w:w="2700" w:type="dxa"/>
            <w:shd w:val="clear" w:color="auto" w:fill="DBDBDB"/>
          </w:tcPr>
          <w:p w:rsidR="00655E9C" w:rsidRDefault="00655E9C" w:rsidP="003E2CED">
            <w:pPr>
              <w:pStyle w:val="TableParagraph"/>
              <w:spacing w:before="3"/>
              <w:rPr>
                <w:sz w:val="24"/>
              </w:rPr>
            </w:pPr>
          </w:p>
          <w:p w:rsidR="00655E9C" w:rsidRDefault="00655E9C" w:rsidP="003E2CED">
            <w:pPr>
              <w:pStyle w:val="TableParagraph"/>
              <w:spacing w:before="1"/>
              <w:ind w:left="835"/>
              <w:rPr>
                <w:b/>
                <w:sz w:val="24"/>
              </w:rPr>
            </w:pPr>
            <w:r>
              <w:rPr>
                <w:b/>
                <w:sz w:val="24"/>
              </w:rPr>
              <w:t>% of FPL</w:t>
            </w:r>
          </w:p>
        </w:tc>
        <w:tc>
          <w:tcPr>
            <w:tcW w:w="1800" w:type="dxa"/>
            <w:shd w:val="clear" w:color="auto" w:fill="DBDBDB"/>
          </w:tcPr>
          <w:p w:rsidR="00655E9C" w:rsidRDefault="00655E9C" w:rsidP="003E2CED">
            <w:pPr>
              <w:pStyle w:val="TableParagraph"/>
              <w:ind w:left="179" w:right="178" w:firstLine="1"/>
              <w:jc w:val="center"/>
              <w:rPr>
                <w:b/>
                <w:sz w:val="24"/>
              </w:rPr>
            </w:pPr>
            <w:r>
              <w:rPr>
                <w:b/>
                <w:sz w:val="24"/>
              </w:rPr>
              <w:t>Premium Requirement for</w:t>
            </w:r>
            <w:r>
              <w:rPr>
                <w:b/>
                <w:spacing w:val="-11"/>
                <w:sz w:val="24"/>
              </w:rPr>
              <w:t xml:space="preserve"> </w:t>
            </w:r>
            <w:r>
              <w:rPr>
                <w:b/>
                <w:sz w:val="24"/>
              </w:rPr>
              <w:t>Individual</w:t>
            </w:r>
          </w:p>
        </w:tc>
        <w:tc>
          <w:tcPr>
            <w:tcW w:w="1817" w:type="dxa"/>
            <w:shd w:val="clear" w:color="auto" w:fill="DBDBDB"/>
          </w:tcPr>
          <w:p w:rsidR="00655E9C" w:rsidRDefault="00655E9C" w:rsidP="003E2CED">
            <w:pPr>
              <w:pStyle w:val="TableParagraph"/>
              <w:ind w:left="235" w:right="232" w:hanging="104"/>
              <w:jc w:val="center"/>
              <w:rPr>
                <w:b/>
                <w:sz w:val="24"/>
              </w:rPr>
            </w:pPr>
            <w:r>
              <w:rPr>
                <w:b/>
                <w:sz w:val="24"/>
              </w:rPr>
              <w:t xml:space="preserve">Premium </w:t>
            </w:r>
            <w:r>
              <w:rPr>
                <w:b/>
                <w:spacing w:val="-2"/>
                <w:sz w:val="24"/>
              </w:rPr>
              <w:t xml:space="preserve">Requirement </w:t>
            </w:r>
            <w:r>
              <w:rPr>
                <w:b/>
                <w:sz w:val="24"/>
              </w:rPr>
              <w:t>for Couples</w:t>
            </w:r>
          </w:p>
        </w:tc>
      </w:tr>
      <w:tr w:rsidR="00655E9C" w:rsidTr="003E2CED">
        <w:trPr>
          <w:trHeight w:hRule="exact" w:val="756"/>
        </w:trPr>
        <w:tc>
          <w:tcPr>
            <w:tcW w:w="3259" w:type="dxa"/>
            <w:vMerge w:val="restart"/>
          </w:tcPr>
          <w:p w:rsidR="00655E9C" w:rsidRDefault="00655E9C" w:rsidP="003E2CED">
            <w:pPr>
              <w:pStyle w:val="TableParagraph"/>
              <w:spacing w:before="181"/>
              <w:ind w:left="103" w:right="113"/>
              <w:rPr>
                <w:sz w:val="24"/>
              </w:rPr>
            </w:pPr>
            <w:r>
              <w:rPr>
                <w:b/>
                <w:sz w:val="24"/>
              </w:rPr>
              <w:t xml:space="preserve">Small Business Employee Premium Assistance* </w:t>
            </w:r>
            <w:r>
              <w:rPr>
                <w:sz w:val="24"/>
              </w:rPr>
              <w:t>provides premium assistance to certain employees who work for a small employer</w:t>
            </w:r>
          </w:p>
        </w:tc>
        <w:tc>
          <w:tcPr>
            <w:tcW w:w="2700" w:type="dxa"/>
          </w:tcPr>
          <w:p w:rsidR="00655E9C" w:rsidRDefault="00655E9C" w:rsidP="003E2CED">
            <w:pPr>
              <w:pStyle w:val="TableParagraph"/>
              <w:spacing w:before="83"/>
              <w:ind w:left="100"/>
              <w:rPr>
                <w:sz w:val="24"/>
              </w:rPr>
            </w:pPr>
            <w:r>
              <w:rPr>
                <w:sz w:val="24"/>
              </w:rPr>
              <w:t>Above 150% to 200%</w:t>
            </w:r>
          </w:p>
        </w:tc>
        <w:tc>
          <w:tcPr>
            <w:tcW w:w="1800" w:type="dxa"/>
          </w:tcPr>
          <w:p w:rsidR="00655E9C" w:rsidRDefault="00655E9C" w:rsidP="003E2CED">
            <w:pPr>
              <w:pStyle w:val="TableParagraph"/>
              <w:spacing w:before="83"/>
              <w:ind w:left="100"/>
              <w:rPr>
                <w:sz w:val="24"/>
              </w:rPr>
            </w:pPr>
            <w:r>
              <w:rPr>
                <w:sz w:val="24"/>
              </w:rPr>
              <w:t>$40.00</w:t>
            </w:r>
          </w:p>
        </w:tc>
        <w:tc>
          <w:tcPr>
            <w:tcW w:w="1817" w:type="dxa"/>
          </w:tcPr>
          <w:p w:rsidR="00655E9C" w:rsidRDefault="00655E9C" w:rsidP="003E2CED">
            <w:pPr>
              <w:pStyle w:val="TableParagraph"/>
              <w:spacing w:before="83"/>
              <w:ind w:left="100"/>
              <w:rPr>
                <w:sz w:val="24"/>
              </w:rPr>
            </w:pPr>
            <w:r>
              <w:rPr>
                <w:sz w:val="24"/>
              </w:rPr>
              <w:t>$80.00</w:t>
            </w:r>
          </w:p>
        </w:tc>
      </w:tr>
      <w:tr w:rsidR="00655E9C" w:rsidTr="003E2CED">
        <w:trPr>
          <w:trHeight w:hRule="exact" w:val="720"/>
        </w:trPr>
        <w:tc>
          <w:tcPr>
            <w:tcW w:w="3259" w:type="dxa"/>
            <w:vMerge/>
          </w:tcPr>
          <w:p w:rsidR="00655E9C" w:rsidRDefault="00655E9C" w:rsidP="003E2CED"/>
        </w:tc>
        <w:tc>
          <w:tcPr>
            <w:tcW w:w="2700" w:type="dxa"/>
          </w:tcPr>
          <w:p w:rsidR="00655E9C" w:rsidRDefault="00655E9C" w:rsidP="003E2CED">
            <w:pPr>
              <w:pStyle w:val="TableParagraph"/>
              <w:spacing w:before="64"/>
              <w:ind w:left="100"/>
              <w:rPr>
                <w:sz w:val="24"/>
              </w:rPr>
            </w:pPr>
            <w:r>
              <w:rPr>
                <w:sz w:val="24"/>
              </w:rPr>
              <w:t>Above 200% to 250%</w:t>
            </w:r>
          </w:p>
        </w:tc>
        <w:tc>
          <w:tcPr>
            <w:tcW w:w="1800" w:type="dxa"/>
          </w:tcPr>
          <w:p w:rsidR="00655E9C" w:rsidRDefault="00655E9C" w:rsidP="003E2CED">
            <w:pPr>
              <w:pStyle w:val="TableParagraph"/>
              <w:spacing w:before="64"/>
              <w:ind w:left="100"/>
              <w:rPr>
                <w:sz w:val="24"/>
              </w:rPr>
            </w:pPr>
            <w:r>
              <w:rPr>
                <w:sz w:val="24"/>
              </w:rPr>
              <w:t>$78.00</w:t>
            </w:r>
          </w:p>
        </w:tc>
        <w:tc>
          <w:tcPr>
            <w:tcW w:w="1817" w:type="dxa"/>
          </w:tcPr>
          <w:p w:rsidR="00655E9C" w:rsidRDefault="00655E9C" w:rsidP="003E2CED">
            <w:pPr>
              <w:pStyle w:val="TableParagraph"/>
              <w:spacing w:before="64"/>
              <w:ind w:left="100"/>
              <w:rPr>
                <w:sz w:val="24"/>
              </w:rPr>
            </w:pPr>
            <w:r>
              <w:rPr>
                <w:sz w:val="24"/>
              </w:rPr>
              <w:t>$156.00</w:t>
            </w:r>
          </w:p>
        </w:tc>
      </w:tr>
      <w:tr w:rsidR="00655E9C" w:rsidTr="003E2CED">
        <w:trPr>
          <w:trHeight w:hRule="exact" w:val="286"/>
        </w:trPr>
        <w:tc>
          <w:tcPr>
            <w:tcW w:w="3259" w:type="dxa"/>
            <w:vMerge/>
          </w:tcPr>
          <w:p w:rsidR="00655E9C" w:rsidRDefault="00655E9C" w:rsidP="003E2CED"/>
        </w:tc>
        <w:tc>
          <w:tcPr>
            <w:tcW w:w="2700" w:type="dxa"/>
          </w:tcPr>
          <w:p w:rsidR="00655E9C" w:rsidRDefault="00655E9C" w:rsidP="003E2CED">
            <w:pPr>
              <w:pStyle w:val="TableParagraph"/>
              <w:spacing w:line="266" w:lineRule="exact"/>
              <w:ind w:left="100"/>
              <w:rPr>
                <w:sz w:val="24"/>
              </w:rPr>
            </w:pPr>
            <w:r>
              <w:rPr>
                <w:sz w:val="24"/>
              </w:rPr>
              <w:t>Above 250% to 300%</w:t>
            </w:r>
          </w:p>
        </w:tc>
        <w:tc>
          <w:tcPr>
            <w:tcW w:w="1800" w:type="dxa"/>
          </w:tcPr>
          <w:p w:rsidR="00655E9C" w:rsidRDefault="00655E9C" w:rsidP="003E2CED">
            <w:pPr>
              <w:pStyle w:val="TableParagraph"/>
              <w:spacing w:line="266" w:lineRule="exact"/>
              <w:ind w:left="100"/>
              <w:rPr>
                <w:sz w:val="24"/>
              </w:rPr>
            </w:pPr>
            <w:r>
              <w:rPr>
                <w:sz w:val="24"/>
              </w:rPr>
              <w:t>$118.00</w:t>
            </w:r>
          </w:p>
        </w:tc>
        <w:tc>
          <w:tcPr>
            <w:tcW w:w="1817" w:type="dxa"/>
          </w:tcPr>
          <w:p w:rsidR="00655E9C" w:rsidRDefault="00655E9C" w:rsidP="003E2CED">
            <w:pPr>
              <w:pStyle w:val="TableParagraph"/>
              <w:spacing w:line="266" w:lineRule="exact"/>
              <w:ind w:left="100"/>
              <w:rPr>
                <w:sz w:val="24"/>
              </w:rPr>
            </w:pPr>
            <w:r>
              <w:rPr>
                <w:sz w:val="24"/>
              </w:rPr>
              <w:t>$236.00</w:t>
            </w:r>
          </w:p>
        </w:tc>
      </w:tr>
    </w:tbl>
    <w:p w:rsidR="009D4716" w:rsidRDefault="00655E9C" w:rsidP="00655E9C">
      <w:pPr>
        <w:pStyle w:val="ListParagraph"/>
        <w:numPr>
          <w:ilvl w:val="0"/>
          <w:numId w:val="1"/>
        </w:numPr>
        <w:tabs>
          <w:tab w:val="left" w:pos="496"/>
        </w:tabs>
        <w:ind w:right="877" w:firstLine="0"/>
      </w:pPr>
      <w:r w:rsidRPr="00655E9C">
        <w:rPr>
          <w:sz w:val="24"/>
        </w:rPr>
        <w:t>Premium requirements for individuals participating in the Small Business Employee Premium Assistance program are tied to the state affordability schedule, as reflected in the minimum premium requirement for individuals enrolled in QHP Wrap coverage through the Health Connector. The premium amounts listed in this table reflect the 2013 state affordability schedule and are subject to change without any amendment to the demonstration.</w:t>
      </w:r>
    </w:p>
    <w:sectPr w:rsidR="009D4716">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5E9C" w:rsidRDefault="00655E9C" w:rsidP="00655E9C">
      <w:r>
        <w:separator/>
      </w:r>
    </w:p>
  </w:endnote>
  <w:endnote w:type="continuationSeparator" w:id="0">
    <w:p w:rsidR="00655E9C" w:rsidRDefault="00655E9C" w:rsidP="00655E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7AE" w:rsidRDefault="00655E9C">
    <w:pPr>
      <w:pStyle w:val="BodyText"/>
      <w:spacing w:line="14" w:lineRule="auto"/>
      <w:rPr>
        <w:sz w:val="20"/>
      </w:rPr>
    </w:pPr>
    <w:r>
      <w:rPr>
        <w:noProof/>
      </w:rPr>
      <mc:AlternateContent>
        <mc:Choice Requires="wps">
          <w:drawing>
            <wp:anchor distT="0" distB="0" distL="114300" distR="114300" simplePos="0" relativeHeight="251659264" behindDoc="1" locked="0" layoutInCell="1" allowOverlap="1">
              <wp:simplePos x="0" y="0"/>
              <wp:positionH relativeFrom="page">
                <wp:posOffset>5990590</wp:posOffset>
              </wp:positionH>
              <wp:positionV relativeFrom="page">
                <wp:posOffset>8911590</wp:posOffset>
              </wp:positionV>
              <wp:extent cx="1021080" cy="17780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108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37AE" w:rsidRDefault="00655E9C">
                          <w:pPr>
                            <w:spacing w:line="264" w:lineRule="exact"/>
                            <w:ind w:left="20"/>
                            <w:rPr>
                              <w:rFonts w:ascii="Calibri"/>
                              <w:b/>
                              <w:sz w:val="24"/>
                            </w:rPr>
                          </w:pPr>
                          <w:r>
                            <w:rPr>
                              <w:rFonts w:ascii="Calibri"/>
                              <w:sz w:val="24"/>
                            </w:rPr>
                            <w:t xml:space="preserve">Page </w:t>
                          </w:r>
                          <w:r>
                            <w:fldChar w:fldCharType="begin"/>
                          </w:r>
                          <w:r>
                            <w:rPr>
                              <w:rFonts w:ascii="Calibri"/>
                              <w:b/>
                              <w:sz w:val="24"/>
                            </w:rPr>
                            <w:instrText xml:space="preserve"> PAGE </w:instrText>
                          </w:r>
                          <w:r>
                            <w:fldChar w:fldCharType="separate"/>
                          </w:r>
                          <w:r>
                            <w:rPr>
                              <w:rFonts w:ascii="Calibri"/>
                              <w:b/>
                              <w:noProof/>
                              <w:sz w:val="24"/>
                            </w:rPr>
                            <w:t>117</w:t>
                          </w:r>
                          <w:r>
                            <w:fldChar w:fldCharType="end"/>
                          </w:r>
                          <w:r>
                            <w:rPr>
                              <w:rFonts w:ascii="Calibri"/>
                              <w:b/>
                              <w:sz w:val="24"/>
                            </w:rPr>
                            <w:t xml:space="preserve"> </w:t>
                          </w:r>
                          <w:r>
                            <w:rPr>
                              <w:rFonts w:ascii="Calibri"/>
                              <w:sz w:val="24"/>
                            </w:rPr>
                            <w:t xml:space="preserve">of </w:t>
                          </w:r>
                          <w:r>
                            <w:rPr>
                              <w:rFonts w:ascii="Calibri"/>
                              <w:b/>
                              <w:sz w:val="24"/>
                            </w:rPr>
                            <w:t>132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471.7pt;margin-top:701.7pt;width:80.4pt;height:1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" filled="f" stroked="f">
              <v:textbox inset="0,0,0,0">
                <w:txbxContent>
                  <w:p w:rsidR="006A37AE" w:rsidRDefault="00655E9C">
                    <w:pPr>
                      <w:spacing w:line="264" w:lineRule="exact"/>
                      <w:ind w:left="20"/>
                      <w:rPr>
                        <w:rFonts w:ascii="Calibri"/>
                        <w:b/>
                        <w:sz w:val="24"/>
                      </w:rPr>
                    </w:pPr>
                    <w:r>
                      <w:rPr>
                        <w:rFonts w:ascii="Calibri"/>
                        <w:sz w:val="24"/>
                      </w:rPr>
                      <w:t xml:space="preserve">Page </w:t>
                    </w:r>
                    <w:r>
                      <w:fldChar w:fldCharType="begin"/>
                    </w:r>
                    <w:r>
                      <w:rPr>
                        <w:rFonts w:ascii="Calibri"/>
                        <w:b/>
                        <w:sz w:val="24"/>
                      </w:rPr>
                      <w:instrText xml:space="preserve"> PAGE </w:instrText>
                    </w:r>
                    <w:r>
                      <w:fldChar w:fldCharType="separate"/>
                    </w:r>
                    <w:r>
                      <w:rPr>
                        <w:rFonts w:ascii="Calibri"/>
                        <w:b/>
                        <w:noProof/>
                        <w:sz w:val="24"/>
                      </w:rPr>
                      <w:t>117</w:t>
                    </w:r>
                    <w:r>
                      <w:fldChar w:fldCharType="end"/>
                    </w:r>
                    <w:r>
                      <w:rPr>
                        <w:rFonts w:ascii="Calibri"/>
                        <w:b/>
                        <w:sz w:val="24"/>
                      </w:rPr>
                      <w:t xml:space="preserve"> </w:t>
                    </w:r>
                    <w:r>
                      <w:rPr>
                        <w:rFonts w:ascii="Calibri"/>
                        <w:sz w:val="24"/>
                      </w:rPr>
                      <w:t xml:space="preserve">of </w:t>
                    </w:r>
                    <w:r>
                      <w:rPr>
                        <w:rFonts w:ascii="Calibri"/>
                        <w:b/>
                        <w:sz w:val="24"/>
                      </w:rPr>
                      <w:t>132</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1" allowOverlap="1">
              <wp:simplePos x="0" y="0"/>
              <wp:positionH relativeFrom="page">
                <wp:posOffset>773430</wp:posOffset>
              </wp:positionH>
              <wp:positionV relativeFrom="page">
                <wp:posOffset>9059545</wp:posOffset>
              </wp:positionV>
              <wp:extent cx="4237990" cy="194310"/>
              <wp:effectExtent l="1905" t="1270" r="0" b="444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799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37AE" w:rsidRDefault="00655E9C">
                          <w:pPr>
                            <w:pStyle w:val="BodyText"/>
                            <w:spacing w:before="10"/>
                            <w:ind w:left="20"/>
                          </w:pPr>
                          <w:r>
                            <w:t>Demonstratio</w:t>
                          </w:r>
                          <w:r>
                            <w:t>n Approval Period:  July 1, 2017 through June 30,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60.9pt;margin-top:713.35pt;width:333.7pt;height:15.3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" filled="f" stroked="f">
              <v:textbox inset="0,0,0,0">
                <w:txbxContent>
                  <w:p w:rsidR="006A37AE" w:rsidRDefault="00655E9C">
                    <w:pPr>
                      <w:pStyle w:val="BodyText"/>
                      <w:spacing w:before="10"/>
                      <w:ind w:left="20"/>
                    </w:pPr>
                    <w:r>
                      <w:t>Demonstratio</w:t>
                    </w:r>
                    <w:r>
                      <w:t>n Approval Period:  July 1, 2017 through June 30, 2022</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7AE" w:rsidRDefault="00655E9C">
    <w:pPr>
      <w:pStyle w:val="BodyText"/>
      <w:spacing w:line="14" w:lineRule="auto"/>
      <w:rPr>
        <w:sz w:val="20"/>
      </w:rPr>
    </w:pPr>
    <w:r>
      <w:rPr>
        <w:noProof/>
      </w:rPr>
      <mc:AlternateContent>
        <mc:Choice Requires="wps">
          <w:drawing>
            <wp:anchor distT="0" distB="0" distL="114300" distR="114300" simplePos="0" relativeHeight="251661312" behindDoc="1" locked="0" layoutInCell="1" allowOverlap="1">
              <wp:simplePos x="0" y="0"/>
              <wp:positionH relativeFrom="page">
                <wp:posOffset>6589395</wp:posOffset>
              </wp:positionH>
              <wp:positionV relativeFrom="page">
                <wp:posOffset>8896350</wp:posOffset>
              </wp:positionV>
              <wp:extent cx="1019175" cy="198120"/>
              <wp:effectExtent l="0" t="0" r="1905"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917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37AE" w:rsidRDefault="00655E9C">
                          <w:pPr>
                            <w:spacing w:before="10"/>
                            <w:ind w:left="20"/>
                            <w:rPr>
                              <w:b/>
                              <w:sz w:val="24"/>
                            </w:rPr>
                          </w:pPr>
                          <w:r>
                            <w:rPr>
                              <w:sz w:val="24"/>
                            </w:rPr>
                            <w:t xml:space="preserve">Page </w:t>
                          </w:r>
                          <w:r>
                            <w:fldChar w:fldCharType="begin"/>
                          </w:r>
                          <w:r>
                            <w:rPr>
                              <w:b/>
                              <w:sz w:val="24"/>
                            </w:rPr>
                            <w:instrText xml:space="preserve"> PAGE </w:instrText>
                          </w:r>
                          <w:r>
                            <w:fldChar w:fldCharType="separate"/>
                          </w:r>
                          <w:r>
                            <w:rPr>
                              <w:b/>
                              <w:noProof/>
                              <w:sz w:val="24"/>
                            </w:rPr>
                            <w:t>118</w:t>
                          </w:r>
                          <w:r>
                            <w:fldChar w:fldCharType="end"/>
                          </w:r>
                          <w:r>
                            <w:rPr>
                              <w:b/>
                              <w:sz w:val="24"/>
                            </w:rPr>
                            <w:t xml:space="preserve"> </w:t>
                          </w:r>
                          <w:r>
                            <w:rPr>
                              <w:sz w:val="24"/>
                            </w:rPr>
                            <w:t xml:space="preserve">of </w:t>
                          </w:r>
                          <w:r>
                            <w:rPr>
                              <w:b/>
                              <w:sz w:val="24"/>
                            </w:rPr>
                            <w:t>132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margin-left:518.85pt;margin-top:700.5pt;width:80.25pt;height:15.6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" filled="f" stroked="f">
              <v:textbox inset="0,0,0,0">
                <w:txbxContent>
                  <w:p w:rsidR="006A37AE" w:rsidRDefault="00655E9C">
                    <w:pPr>
                      <w:spacing w:before="10"/>
                      <w:ind w:left="20"/>
                      <w:rPr>
                        <w:b/>
                        <w:sz w:val="24"/>
                      </w:rPr>
                    </w:pPr>
                    <w:r>
                      <w:rPr>
                        <w:sz w:val="24"/>
                      </w:rPr>
                      <w:t xml:space="preserve">Page </w:t>
                    </w:r>
                    <w:r>
                      <w:fldChar w:fldCharType="begin"/>
                    </w:r>
                    <w:r>
                      <w:rPr>
                        <w:b/>
                        <w:sz w:val="24"/>
                      </w:rPr>
                      <w:instrText xml:space="preserve"> PAGE </w:instrText>
                    </w:r>
                    <w:r>
                      <w:fldChar w:fldCharType="separate"/>
                    </w:r>
                    <w:r>
                      <w:rPr>
                        <w:b/>
                        <w:noProof/>
                        <w:sz w:val="24"/>
                      </w:rPr>
                      <w:t>118</w:t>
                    </w:r>
                    <w:r>
                      <w:fldChar w:fldCharType="end"/>
                    </w:r>
                    <w:r>
                      <w:rPr>
                        <w:b/>
                        <w:sz w:val="24"/>
                      </w:rPr>
                      <w:t xml:space="preserve"> </w:t>
                    </w:r>
                    <w:r>
                      <w:rPr>
                        <w:sz w:val="24"/>
                      </w:rPr>
                      <w:t xml:space="preserve">of </w:t>
                    </w:r>
                    <w:r>
                      <w:rPr>
                        <w:b/>
                        <w:sz w:val="24"/>
                      </w:rPr>
                      <w:t>132</w:t>
                    </w:r>
                  </w:p>
                </w:txbxContent>
              </v:textbox>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simplePos x="0" y="0"/>
              <wp:positionH relativeFrom="page">
                <wp:posOffset>200660</wp:posOffset>
              </wp:positionH>
              <wp:positionV relativeFrom="page">
                <wp:posOffset>9055100</wp:posOffset>
              </wp:positionV>
              <wp:extent cx="4237990" cy="194310"/>
              <wp:effectExtent l="63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799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37AE" w:rsidRDefault="00655E9C">
                          <w:pPr>
                            <w:pStyle w:val="BodyText"/>
                            <w:spacing w:before="10"/>
                            <w:ind w:left="20"/>
                          </w:pPr>
                          <w:r>
                            <w:t>Demonstration Approval Period:  July 1, 2017 through June 30, 2022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9" type="#_x0000_t202" style="position:absolute;margin-left:15.8pt;margin-top:713pt;width:333.7pt;height:15.3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" filled="f" stroked="f">
              <v:textbox inset="0,0,0,0">
                <w:txbxContent>
                  <w:p w:rsidR="006A37AE" w:rsidRDefault="00655E9C">
                    <w:pPr>
                      <w:pStyle w:val="BodyText"/>
                      <w:spacing w:before="10"/>
                      <w:ind w:left="20"/>
                    </w:pPr>
                    <w:r>
                      <w:t>Demonstration Approval Period:  July 1, 2017 through June 30, 2022</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5E9C" w:rsidRDefault="00655E9C" w:rsidP="00655E9C">
      <w:r>
        <w:separator/>
      </w:r>
    </w:p>
  </w:footnote>
  <w:footnote w:type="continuationSeparator" w:id="0">
    <w:p w:rsidR="00655E9C" w:rsidRDefault="00655E9C" w:rsidP="00655E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7522556"/>
    <w:multiLevelType w:val="hybridMultilevel"/>
    <w:tmpl w:val="0B005E1E"/>
    <w:lvl w:ilvl="0" w:tplc="16FAC108">
      <w:numFmt w:val="bullet"/>
      <w:lvlText w:val="*"/>
      <w:lvlJc w:val="left"/>
      <w:pPr>
        <w:ind w:left="315" w:hanging="180"/>
      </w:pPr>
      <w:rPr>
        <w:rFonts w:ascii="Times New Roman" w:eastAsia="Times New Roman" w:hAnsi="Times New Roman" w:cs="Times New Roman" w:hint="default"/>
        <w:spacing w:val="-15"/>
        <w:w w:val="99"/>
        <w:sz w:val="24"/>
        <w:szCs w:val="24"/>
      </w:rPr>
    </w:lvl>
    <w:lvl w:ilvl="1" w:tplc="C16A7F3A">
      <w:numFmt w:val="bullet"/>
      <w:lvlText w:val=""/>
      <w:lvlJc w:val="left"/>
      <w:pPr>
        <w:ind w:left="839" w:hanging="360"/>
      </w:pPr>
      <w:rPr>
        <w:rFonts w:ascii="Symbol" w:eastAsia="Symbol" w:hAnsi="Symbol" w:cs="Symbol" w:hint="default"/>
        <w:w w:val="100"/>
        <w:sz w:val="24"/>
        <w:szCs w:val="24"/>
      </w:rPr>
    </w:lvl>
    <w:lvl w:ilvl="2" w:tplc="72C20F1E">
      <w:numFmt w:val="bullet"/>
      <w:lvlText w:val="•"/>
      <w:lvlJc w:val="left"/>
      <w:pPr>
        <w:ind w:left="1862" w:hanging="360"/>
      </w:pPr>
      <w:rPr>
        <w:rFonts w:hint="default"/>
      </w:rPr>
    </w:lvl>
    <w:lvl w:ilvl="3" w:tplc="3BB4C53C">
      <w:numFmt w:val="bullet"/>
      <w:lvlText w:val="•"/>
      <w:lvlJc w:val="left"/>
      <w:pPr>
        <w:ind w:left="2884" w:hanging="360"/>
      </w:pPr>
      <w:rPr>
        <w:rFonts w:hint="default"/>
      </w:rPr>
    </w:lvl>
    <w:lvl w:ilvl="4" w:tplc="1D967F2C">
      <w:numFmt w:val="bullet"/>
      <w:lvlText w:val="•"/>
      <w:lvlJc w:val="left"/>
      <w:pPr>
        <w:ind w:left="3906" w:hanging="360"/>
      </w:pPr>
      <w:rPr>
        <w:rFonts w:hint="default"/>
      </w:rPr>
    </w:lvl>
    <w:lvl w:ilvl="5" w:tplc="24C641A8">
      <w:numFmt w:val="bullet"/>
      <w:lvlText w:val="•"/>
      <w:lvlJc w:val="left"/>
      <w:pPr>
        <w:ind w:left="4928" w:hanging="360"/>
      </w:pPr>
      <w:rPr>
        <w:rFonts w:hint="default"/>
      </w:rPr>
    </w:lvl>
    <w:lvl w:ilvl="6" w:tplc="2E48FE5E">
      <w:numFmt w:val="bullet"/>
      <w:lvlText w:val="•"/>
      <w:lvlJc w:val="left"/>
      <w:pPr>
        <w:ind w:left="5951" w:hanging="360"/>
      </w:pPr>
      <w:rPr>
        <w:rFonts w:hint="default"/>
      </w:rPr>
    </w:lvl>
    <w:lvl w:ilvl="7" w:tplc="EB56E56E">
      <w:numFmt w:val="bullet"/>
      <w:lvlText w:val="•"/>
      <w:lvlJc w:val="left"/>
      <w:pPr>
        <w:ind w:left="6973" w:hanging="360"/>
      </w:pPr>
      <w:rPr>
        <w:rFonts w:hint="default"/>
      </w:rPr>
    </w:lvl>
    <w:lvl w:ilvl="8" w:tplc="307E9ECA">
      <w:numFmt w:val="bullet"/>
      <w:lvlText w:val="•"/>
      <w:lvlJc w:val="left"/>
      <w:pPr>
        <w:ind w:left="7995"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visionView w:inkAnnotation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5E9C"/>
    <w:rsid w:val="00655E9C"/>
    <w:rsid w:val="009D47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9163B738-4E48-4F31-9946-838FC5D70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655E9C"/>
    <w:pPr>
      <w:widowControl w:val="0"/>
      <w:autoSpaceDE w:val="0"/>
      <w:autoSpaceDN w:val="0"/>
      <w:spacing w:after="0"/>
    </w:pPr>
    <w:rPr>
      <w:rFonts w:ascii="Times New Roman" w:eastAsia="Times New Roman" w:hAnsi="Times New Roman" w:cs="Times New Roman"/>
    </w:rPr>
  </w:style>
  <w:style w:type="paragraph" w:styleId="Heading1">
    <w:name w:val="heading 1"/>
    <w:basedOn w:val="Normal"/>
    <w:link w:val="Heading1Char"/>
    <w:uiPriority w:val="1"/>
    <w:qFormat/>
    <w:rsid w:val="00655E9C"/>
    <w:pPr>
      <w:ind w:left="203"/>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55E9C"/>
    <w:rPr>
      <w:rFonts w:ascii="Times New Roman" w:eastAsia="Times New Roman" w:hAnsi="Times New Roman" w:cs="Times New Roman"/>
      <w:b/>
      <w:bCs/>
      <w:sz w:val="24"/>
      <w:szCs w:val="24"/>
    </w:rPr>
  </w:style>
  <w:style w:type="paragraph" w:styleId="BodyText">
    <w:name w:val="Body Text"/>
    <w:basedOn w:val="Normal"/>
    <w:link w:val="BodyTextChar"/>
    <w:uiPriority w:val="1"/>
    <w:qFormat/>
    <w:rsid w:val="00655E9C"/>
    <w:rPr>
      <w:sz w:val="24"/>
      <w:szCs w:val="24"/>
    </w:rPr>
  </w:style>
  <w:style w:type="character" w:customStyle="1" w:styleId="BodyTextChar">
    <w:name w:val="Body Text Char"/>
    <w:basedOn w:val="DefaultParagraphFont"/>
    <w:link w:val="BodyText"/>
    <w:uiPriority w:val="1"/>
    <w:rsid w:val="00655E9C"/>
    <w:rPr>
      <w:rFonts w:ascii="Times New Roman" w:eastAsia="Times New Roman" w:hAnsi="Times New Roman" w:cs="Times New Roman"/>
      <w:sz w:val="24"/>
      <w:szCs w:val="24"/>
    </w:rPr>
  </w:style>
  <w:style w:type="paragraph" w:styleId="ListParagraph">
    <w:name w:val="List Paragraph"/>
    <w:basedOn w:val="Normal"/>
    <w:uiPriority w:val="1"/>
    <w:qFormat/>
    <w:rsid w:val="00655E9C"/>
    <w:pPr>
      <w:ind w:left="1533" w:hanging="360"/>
    </w:pPr>
  </w:style>
  <w:style w:type="paragraph" w:customStyle="1" w:styleId="TableParagraph">
    <w:name w:val="Table Paragraph"/>
    <w:basedOn w:val="Normal"/>
    <w:uiPriority w:val="1"/>
    <w:qFormat/>
    <w:rsid w:val="00655E9C"/>
  </w:style>
  <w:style w:type="paragraph" w:styleId="NoSpacing">
    <w:name w:val="No Spacing"/>
    <w:uiPriority w:val="1"/>
    <w:qFormat/>
    <w:rsid w:val="00655E9C"/>
    <w:pPr>
      <w:widowControl w:val="0"/>
      <w:autoSpaceDE w:val="0"/>
      <w:autoSpaceDN w:val="0"/>
      <w:spacing w:after="0"/>
    </w:pPr>
    <w:rPr>
      <w:rFonts w:ascii="Times New Roman" w:eastAsia="Times New Roman" w:hAnsi="Times New Roman" w:cs="Times New Roman"/>
    </w:rPr>
  </w:style>
  <w:style w:type="paragraph" w:styleId="Header">
    <w:name w:val="header"/>
    <w:basedOn w:val="Normal"/>
    <w:link w:val="HeaderChar"/>
    <w:uiPriority w:val="99"/>
    <w:unhideWhenUsed/>
    <w:rsid w:val="00655E9C"/>
    <w:pPr>
      <w:tabs>
        <w:tab w:val="center" w:pos="4680"/>
        <w:tab w:val="right" w:pos="9360"/>
      </w:tabs>
    </w:pPr>
  </w:style>
  <w:style w:type="character" w:customStyle="1" w:styleId="HeaderChar">
    <w:name w:val="Header Char"/>
    <w:basedOn w:val="DefaultParagraphFont"/>
    <w:link w:val="Header"/>
    <w:uiPriority w:val="99"/>
    <w:rsid w:val="00655E9C"/>
    <w:rPr>
      <w:rFonts w:ascii="Times New Roman" w:eastAsia="Times New Roman" w:hAnsi="Times New Roman" w:cs="Times New Roman"/>
    </w:rPr>
  </w:style>
  <w:style w:type="paragraph" w:styleId="Footer">
    <w:name w:val="footer"/>
    <w:basedOn w:val="Normal"/>
    <w:link w:val="FooterChar"/>
    <w:uiPriority w:val="99"/>
    <w:unhideWhenUsed/>
    <w:rsid w:val="00655E9C"/>
    <w:pPr>
      <w:tabs>
        <w:tab w:val="center" w:pos="4680"/>
        <w:tab w:val="right" w:pos="9360"/>
      </w:tabs>
    </w:pPr>
  </w:style>
  <w:style w:type="character" w:customStyle="1" w:styleId="FooterChar">
    <w:name w:val="Footer Char"/>
    <w:basedOn w:val="DefaultParagraphFont"/>
    <w:link w:val="Footer"/>
    <w:uiPriority w:val="99"/>
    <w:rsid w:val="00655E9C"/>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688</Words>
  <Characters>3927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4606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 Greenfield</dc:creator>
  <cp:keywords/>
  <dc:description/>
  <cp:lastModifiedBy>Eli Greenfield</cp:lastModifiedBy>
  <cp:revision>1</cp:revision>
  <dcterms:created xsi:type="dcterms:W3CDTF">2018-01-25T13:07:00Z</dcterms:created>
  <dcterms:modified xsi:type="dcterms:W3CDTF">2018-01-25T13:10:00Z</dcterms:modified>
</cp:coreProperties>
</file>